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Link/Document/FullText?findType=Y&amp;serNum=2082738315&amp;pubNum=0000999&amp;originatingDoc=If5f29260f2cc11efa636e24a1ff572cc&amp;refType=RP&amp;originationContext=document&amp;vr=3.0&amp;rs=cblt1.0&amp;transitionType=DocumentItem&amp;contextData=(sc.DocLink)"/>
  <Relationship Id="r8"
    Type="http://schemas.openxmlformats.org/officeDocument/2006/relationships/hyperlink"
    TargetMode="External"
    Target="https://www.westlaw.com/Link/Document/FullText?findType=h&amp;pubNum=176284&amp;cite=0534314501&amp;originatingDoc=If5f29260f2cc11efa636e24a1ff572cc&amp;refType=RQ&amp;originationContext=document&amp;vr=3.0&amp;rs=cblt1.0&amp;transitionType=DocumentItem&amp;contextData=(sc.DocLink)"/>
  <Relationship Id="r9"
    Type="http://schemas.openxmlformats.org/officeDocument/2006/relationships/hyperlink"
    TargetMode="External"
    Target="https://www.westlaw.com/Link/Document/FullText?findType=Y&amp;serNum=2082955420&amp;pubNum=0000999&amp;originatingDoc=If5f29260f2cc11efa636e24a1ff572cc&amp;refType=RP&amp;originationContext=document&amp;vr=3.0&amp;rs=cblt1.0&amp;transitionType=DocumentItem&amp;contextData=(sc.DocLink)"/>
  <Relationship Id="r10"
    Type="http://schemas.openxmlformats.org/officeDocument/2006/relationships/hyperlink"
    TargetMode="External"
    Target="https://www.westlaw.com/Browse/Home/KeyNumber/250/View.html?docGuid=If5f29260f2cc11efa636e24a1ff572cc&amp;originationContext=document&amp;vr=3.0&amp;rs=cblt1.0&amp;transitionType=DocumentItem&amp;contextData=(sc.DocLink)"/>
  <Relationship Id="r11"
    Type="http://schemas.openxmlformats.org/officeDocument/2006/relationships/image"
    Target="images/2.png"/>
  <Relationship Id="r12"
    Type="http://schemas.openxmlformats.org/officeDocument/2006/relationships/hyperlink"
    TargetMode="External"
    Target="https://www.westlaw.com/Browse/Home/KeyNumber/106/View.html?docGuid=If5f29260f2cc11efa636e24a1ff572cc&amp;originationContext=document&amp;vr=3.0&amp;rs=cblt1.0&amp;transitionType=DocumentItem&amp;contextData=(sc.DocLink)"/>
  <Relationship Id="r13"
    Type="http://schemas.openxmlformats.org/officeDocument/2006/relationships/hyperlink"
    TargetMode="External"
    Target="https://www.westlaw.com/Link/Document/FullText?findType=L&amp;pubNum=1000176&amp;cite=TXGTS25A.006&amp;originatingDoc=If5f29260f2cc11efa636e24a1ff572cc&amp;refType=SP&amp;originationContext=document&amp;vr=3.0&amp;rs=cblt1.0&amp;transitionType=DocumentItem&amp;contextData=(sc.DocLink)#co_pp_8b3b0000958a4"/>
  <Relationship Id="r14"
    Type="http://schemas.openxmlformats.org/officeDocument/2006/relationships/hyperlink"
    TargetMode="External"
    Target="https://www.westlaw.com/Link/Document/FullText?findType=L&amp;pubNum=1000176&amp;cite=TXGTS25A.006&amp;originatingDoc=If5f29260f2cc11efa636e24a1ff572cc&amp;refType=SP&amp;originationContext=document&amp;vr=3.0&amp;rs=cblt1.0&amp;transitionType=DocumentItem&amp;contextData=(sc.DocLink)#co_pp_16f4000091d86"/>
  <Relationship Id="r15"
    Type="http://schemas.openxmlformats.org/officeDocument/2006/relationships/hyperlink"
    TargetMode="External"
    Target="https://www.westlaw.com/Browse/Home/KeyNumber/106/View.html?docGuid=If5f29260f2cc11efa636e24a1ff572cc&amp;originationContext=document&amp;vr=3.0&amp;rs=cblt1.0&amp;transitionType=DocumentItem&amp;contextData=(sc.DocLink)"/>
  <Relationship Id="r16"
    Type="http://schemas.openxmlformats.org/officeDocument/2006/relationships/hyperlink"
    TargetMode="External"
    Target="https://www.westlaw.com/Link/Document/FullText?findType=L&amp;pubNum=1000176&amp;cite=TXGTS25A.006&amp;originatingDoc=If5f29260f2cc11efa636e24a1ff572cc&amp;refType=SP&amp;originationContext=document&amp;vr=3.0&amp;rs=cblt1.0&amp;transitionType=DocumentItem&amp;contextData=(sc.DocLink)#co_pp_8b3b0000958a4"/>
  <Relationship Id="r17"
    Type="http://schemas.openxmlformats.org/officeDocument/2006/relationships/hyperlink"
    TargetMode="External"
    Target="https://www.westlaw.com/Link/Document/FullText?findType=L&amp;pubNum=1000176&amp;cite=TXGTS25A.006&amp;originatingDoc=If5f29260f2cc11efa636e24a1ff572cc&amp;refType=SP&amp;originationContext=document&amp;vr=3.0&amp;rs=cblt1.0&amp;transitionType=DocumentItem&amp;contextData=(sc.DocLink)#co_pp_16f4000091d86"/>
  <Relationship Id="r18"
    Type="http://schemas.openxmlformats.org/officeDocument/2006/relationships/hyperlink"
    TargetMode="External"
    Target="https://www.westlaw.com/Link/Document/FullText?findType=L&amp;pubNum=1003817&amp;cite=TXRRCPR355&amp;originatingDoc=If5f29260f2cc11efa636e24a1ff572cc&amp;refType=LQ&amp;originationContext=document&amp;vr=3.0&amp;rs=cblt1.0&amp;transitionType=DocumentItem&amp;contextData=(sc.DocLink)"/>
  <Relationship Id="r19"
    Type="http://schemas.openxmlformats.org/officeDocument/2006/relationships/hyperlink"
    TargetMode="External"
    Target="https://www.westlaw.com/Browse/Home/KeyNumber/250/View.html?docGuid=If5f29260f2cc11efa636e24a1ff572cc&amp;originationContext=document&amp;vr=3.0&amp;rs=cblt1.0&amp;transitionType=DocumentItem&amp;contextData=(sc.DocLink)"/>
  <Relationship Id="r20"
    Type="http://schemas.openxmlformats.org/officeDocument/2006/relationships/hyperlink"
    TargetMode="External"
    Target="https://www.westlaw.com/Link/Document/FullText?findType=L&amp;pubNum=1000176&amp;cite=TXGTS25A.006&amp;originatingDoc=If5f29260f2cc11efa636e24a1ff572cc&amp;refType=SP&amp;originationContext=document&amp;vr=3.0&amp;rs=cblt1.0&amp;transitionType=DocumentItem&amp;contextData=(sc.DocLink)#co_pp_8b3b0000958a4"/>
  <Relationship Id="r21"
    Type="http://schemas.openxmlformats.org/officeDocument/2006/relationships/hyperlink"
    TargetMode="External"
    Target="https://www.westlaw.com/Link/Document/FullText?findType=L&amp;pubNum=1000176&amp;cite=TXGTS25A.015&amp;originatingDoc=If5f29260f2cc11efa636e24a1ff572cc&amp;refType=SP&amp;originationContext=document&amp;vr=3.0&amp;rs=cblt1.0&amp;transitionType=DocumentItem&amp;contextData=(sc.DocLink)#co_pp_4b24000003ba5"/>
  <Relationship Id="r22"
    Type="http://schemas.openxmlformats.org/officeDocument/2006/relationships/hyperlink"
    TargetMode="External"
    Target="https://www.westlaw.com/Link/Document/FullText?findType=L&amp;pubNum=1003817&amp;cite=TXRRCPR355&amp;originatingDoc=If5f29260f2cc11efa636e24a1ff572cc&amp;refType=LQ&amp;originationContext=document&amp;vr=3.0&amp;rs=cblt1.0&amp;transitionType=DocumentItem&amp;contextData=(sc.DocLink)"/>
  <Relationship Id="r23"
    Type="http://schemas.openxmlformats.org/officeDocument/2006/relationships/hyperlink"
    TargetMode="External"
    Target="https://www.westlaw.com/Browse/Home/KeyNumber/250/View.html?docGuid=If5f29260f2cc11efa636e24a1ff572cc&amp;originationContext=document&amp;vr=3.0&amp;rs=cblt1.0&amp;transitionType=DocumentItem&amp;contextData=(sc.DocLink)"/>
  <Relationship Id="r24"
    Type="http://schemas.openxmlformats.org/officeDocument/2006/relationships/hyperlink"
    TargetMode="External"
    Target="https://www.westlaw.com/Browse/Home/KeyNumber/250/View.html?docGuid=If5f29260f2cc11efa636e24a1ff572cc&amp;originationContext=document&amp;vr=3.0&amp;rs=cblt1.0&amp;transitionType=DocumentItem&amp;contextData=(sc.DocLink)"/>
  <Relationship Id="r25"
    Type="http://schemas.openxmlformats.org/officeDocument/2006/relationships/hyperlink"
    TargetMode="External"
    Target="https://www.westlaw.com/Link/Document/FullText?findType=h&amp;pubNum=176284&amp;cite=0242664401&amp;originatingDoc=If5f29260f2cc11efa636e24a1ff572cc&amp;refType=RQ&amp;originationContext=document&amp;vr=3.0&amp;rs=cblt1.0&amp;transitionType=DocumentItem&amp;contextData=(sc.DocLink)"/>
  <Relationship Id="r26"
    Type="http://schemas.openxmlformats.org/officeDocument/2006/relationships/hyperlink"
    TargetMode="External"
    Target="https://www.westlaw.com/Link/Document/FullText?findType=h&amp;pubNum=176284&amp;cite=0412118601&amp;originatingDoc=If5f29260f2cc11efa636e24a1ff572cc&amp;refType=RQ&amp;originationContext=document&amp;vr=3.0&amp;rs=cblt1.0&amp;transitionType=DocumentItem&amp;contextData=(sc.DocLink)"/>
  <Relationship Id="r27"
    Type="http://schemas.openxmlformats.org/officeDocument/2006/relationships/hyperlink"
    TargetMode="External"
    Target="https://www.westlaw.com/Link/Document/FullText?findType=h&amp;pubNum=176284&amp;cite=0451058901&amp;originatingDoc=If5f29260f2cc11efa636e24a1ff572cc&amp;refType=RQ&amp;originationContext=document&amp;vr=3.0&amp;rs=cblt1.0&amp;transitionType=DocumentItem&amp;contextData=(sc.DocLink)"/>
  <Relationship Id="r28"
    Type="http://schemas.openxmlformats.org/officeDocument/2006/relationships/hyperlink"
    TargetMode="External"
    Target="https://www.westlaw.com/Link/Document/FullText?findType=h&amp;pubNum=176284&amp;cite=0298179901&amp;originatingDoc=If5f29260f2cc11efa636e24a1ff572cc&amp;refType=RQ&amp;originationContext=document&amp;vr=3.0&amp;rs=cblt1.0&amp;transitionType=DocumentItem&amp;contextData=(sc.DocLink)"/>
  <Relationship Id="r29"
    Type="http://schemas.openxmlformats.org/officeDocument/2006/relationships/hyperlink"
    TargetMode="External"
    Target="https://www.westlaw.com/Link/Document/FullText?findType=h&amp;pubNum=176284&amp;cite=0153928001&amp;originatingDoc=If5f29260f2cc11efa636e24a1ff572cc&amp;refType=RQ&amp;originationContext=document&amp;vr=3.0&amp;rs=cblt1.0&amp;transitionType=DocumentItem&amp;contextData=(sc.DocLink)"/>
  <Relationship Id="r30"
    Type="http://schemas.openxmlformats.org/officeDocument/2006/relationships/hyperlink"
    TargetMode="External"
    Target="https://www.westlaw.com/Link/Document/FullText?findType=h&amp;pubNum=176284&amp;cite=0383701001&amp;originatingDoc=If5f29260f2cc11efa636e24a1ff572cc&amp;refType=RQ&amp;originationContext=document&amp;vr=3.0&amp;rs=cblt1.0&amp;transitionType=DocumentItem&amp;contextData=(sc.DocLink)"/>
  <Relationship Id="r31"
    Type="http://schemas.openxmlformats.org/officeDocument/2006/relationships/hyperlink"
    TargetMode="External"
    Target="https://www.westlaw.com/Link/Document/FullText?findType=h&amp;pubNum=176284&amp;cite=0325057601&amp;originatingDoc=If5f29260f2cc11efa636e24a1ff572cc&amp;refType=RQ&amp;originationContext=document&amp;vr=3.0&amp;rs=cblt1.0&amp;transitionType=DocumentItem&amp;contextData=(sc.DocLink)"/>
  <Relationship Id="r32"
    Type="http://schemas.openxmlformats.org/officeDocument/2006/relationships/hyperlink"
    TargetMode="External"
    Target="https://www.westlaw.com/Link/Document/FullText?findType=h&amp;pubNum=176284&amp;cite=0534314501&amp;originatingDoc=If5f29260f2cc11efa636e24a1ff572cc&amp;refType=RQ&amp;originationContext=document&amp;vr=3.0&amp;rs=cblt1.0&amp;transitionType=DocumentItem&amp;contextData=(sc.DocLink)"/>
  <Relationship Id="r33"
    Type="http://schemas.openxmlformats.org/officeDocument/2006/relationships/hyperlink"
    TargetMode="External"
    Target="https://www.westlaw.com/Link/Document/FullText?findType=h&amp;pubNum=176284&amp;cite=0187364101&amp;originatingDoc=If5f29260f2cc11efa636e24a1ff572cc&amp;refType=RQ&amp;originationContext=document&amp;vr=3.0&amp;rs=cblt1.0&amp;transitionType=DocumentItem&amp;contextData=(sc.DocLink)"/>
  <Relationship Id="r34"
    Type="http://schemas.openxmlformats.org/officeDocument/2006/relationships/hyperlink"
    TargetMode="External"
    Target="https://www.westlaw.com/Link/Document/FullText?findType=h&amp;pubNum=176284&amp;cite=0524694501&amp;originatingDoc=If5f29260f2cc11efa636e24a1ff572cc&amp;refType=RQ&amp;originationContext=document&amp;vr=3.0&amp;rs=cblt1.0&amp;transitionType=DocumentItem&amp;contextData=(sc.DocLink)"/>
  <Relationship Id="r35"
    Type="http://schemas.openxmlformats.org/officeDocument/2006/relationships/hyperlink"
    TargetMode="External"
    Target="https://www.westlaw.com/Link/Document/FullText?findType=h&amp;pubNum=176284&amp;cite=0534314501&amp;originatingDoc=If5f29260f2cc11efa636e24a1ff572cc&amp;refType=RQ&amp;originationContext=document&amp;vr=3.0&amp;rs=cblt1.0&amp;transitionType=DocumentItem&amp;contextData=(sc.DocLink)"/>
  <Relationship Id="r36"
    Type="http://schemas.openxmlformats.org/officeDocument/2006/relationships/hyperlink"
    TargetMode="External"
    Target="https://www.westlaw.com/Link/Document/FullText?findType=Y&amp;serNum=2082955420&amp;pubNum=0000999&amp;originatingDoc=If5f29260f2cc11efa636e24a1ff572cc&amp;refType=RP&amp;originationContext=document&amp;vr=3.0&amp;rs=cblt1.0&amp;transitionType=DocumentItem&amp;contextData=(sc.DocLink)"/>
  <Relationship Id="r37"
    Type="http://schemas.openxmlformats.org/officeDocument/2006/relationships/hyperlink"
    TargetMode="External"
    Target="https://www.westlaw.com/Link/Document/FullText?findType=L&amp;pubNum=1003817&amp;cite=TXRRCPR21&amp;originatingDoc=If5f29260f2cc11efa636e24a1ff572cc&amp;refType=RB&amp;originationContext=document&amp;vr=3.0&amp;rs=cblt1.0&amp;transitionType=DocumentItem&amp;contextData=(sc.DocLink)#co_pp_8b3b0000958a4"/>
  <Relationship Id="r38"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8b3b0000958a4"/>
  <Relationship Id="r39"
    Type="http://schemas.openxmlformats.org/officeDocument/2006/relationships/hyperlink"
    TargetMode="External"
    Target="https://www.westlaw.com/Link/Document/FullText?findType=L&amp;pubNum=1000176&amp;cite=TXGTS25A.006&amp;originatingDoc=If5f29260f2cc11efa636e24a1ff572cc&amp;refType=RE&amp;originationContext=document&amp;vr=3.0&amp;rs=cblt1.0&amp;transitionType=DocumentItem&amp;contextData=(sc.DocLink)#co_pp_4b24000003ba5"/>
  <Relationship Id="r40"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5ba1000067d06"/>
  <Relationship Id="r41"
    Type="http://schemas.openxmlformats.org/officeDocument/2006/relationships/hyperlink"
    TargetMode="External"
    Target="https://www.westlaw.com/Link/Document/FullText?findType=L&amp;pubNum=1000176&amp;cite=TXGTS25A.006&amp;originatingDoc=If5f29260f2cc11efa636e24a1ff572cc&amp;refType=RE&amp;originationContext=document&amp;vr=3.0&amp;rs=cblt1.0&amp;transitionType=DocumentItem&amp;contextData=(sc.DocLink)#co_pp_267600008f864"/>
  <Relationship Id="r42"
    Type="http://schemas.openxmlformats.org/officeDocument/2006/relationships/hyperlink"
    TargetMode="External"
    Target="https://www.westlaw.com/Link/Document/FullText?findType=L&amp;pubNum=1003817&amp;cite=TXRRCPR354&amp;originatingDoc=If5f29260f2cc11efa636e24a1ff572cc&amp;refType=LQ&amp;originationContext=document&amp;vr=3.0&amp;rs=cblt1.0&amp;transitionType=DocumentItem&amp;contextData=(sc.DocLink)"/>
  <Relationship Id="r43"
    Type="http://schemas.openxmlformats.org/officeDocument/2006/relationships/hyperlink"
    TargetMode="External"
    Target="https://www.westlaw.com/Link/Document/FullText?findType=L&amp;pubNum=1003817&amp;cite=TXRRCPR355&amp;originatingDoc=If5f29260f2cc11efa636e24a1ff572cc&amp;refType=LQ&amp;originationContext=document&amp;vr=3.0&amp;rs=cblt1.0&amp;transitionType=DocumentItem&amp;contextData=(sc.DocLink)"/>
  <Relationship Id="r44"
    Type="http://schemas.openxmlformats.org/officeDocument/2006/relationships/hyperlink"
    TargetMode="External"
    Target="https://www.westlaw.com/Link/Document/FullText?findType=Y&amp;serNum=2082955420&amp;pubNum=0000999&amp;originatingDoc=If5f29260f2cc11efa636e24a1ff572cc&amp;refType=RP&amp;originationContext=document&amp;vr=3.0&amp;rs=cblt1.0&amp;transitionType=DocumentItem&amp;contextData=(sc.DocLink)"/>
  <Relationship Id="r45"
    Type="http://schemas.openxmlformats.org/officeDocument/2006/relationships/hyperlink"
    TargetMode="External"
    Target="https://www.westlaw.com/Link/Document/FullText?findType=Y&amp;serNum=2018887532&amp;pubNum=0004644&amp;originatingDoc=If5f29260f2cc11efa636e24a1ff572cc&amp;refType=RP&amp;fi=co_pp_sp_4644_458&amp;originationContext=document&amp;vr=3.0&amp;rs=cblt1.0&amp;transitionType=DocumentItem&amp;contextData=(sc.DocLink)#co_pp_sp_4644_458"/>
  <Relationship Id="r46"
    Type="http://schemas.openxmlformats.org/officeDocument/2006/relationships/hyperlink"
    TargetMode="External"
    Target="https://www.westlaw.com/Link/Document/FullText?findType=Y&amp;serNum=2018626600&amp;pubNum=0004644&amp;originatingDoc=If5f29260f2cc11efa636e24a1ff572cc&amp;refType=RP&amp;fi=co_pp_sp_4644_841&amp;originationContext=document&amp;vr=3.0&amp;rs=cblt1.0&amp;transitionType=DocumentItem&amp;contextData=(sc.DocLink)#co_pp_sp_4644_841"/>
  <Relationship Id="r47"
    Type="http://schemas.openxmlformats.org/officeDocument/2006/relationships/hyperlink"
    TargetMode="External"
    Target="https://www.westlaw.com/Link/Document/FullText?findType=Y&amp;serNum=1997123327&amp;pubNum=0000713&amp;originatingDoc=If5f29260f2cc11efa636e24a1ff572cc&amp;refType=RP&amp;fi=co_pp_sp_713_396&amp;originationContext=document&amp;vr=3.0&amp;rs=cblt1.0&amp;transitionType=DocumentItem&amp;contextData=(sc.DocLink)#co_pp_sp_713_396"/>
  <Relationship Id="r48"
    Type="http://schemas.openxmlformats.org/officeDocument/2006/relationships/hyperlink"
    TargetMode="External"
    Target="https://www.westlaw.com/Link/Document/FullText?findType=Y&amp;serNum=2016886469&amp;pubNum=0004644&amp;originatingDoc=If5f29260f2cc11efa636e24a1ff572cc&amp;refType=RP&amp;fi=co_pp_sp_4644_466&amp;originationContext=document&amp;vr=3.0&amp;rs=cblt1.0&amp;transitionType=DocumentItem&amp;contextData=(sc.DocLink)#co_pp_sp_4644_466"/>
  <Relationship Id="r49"
    Type="http://schemas.openxmlformats.org/officeDocument/2006/relationships/hyperlink"
    TargetMode="External"
    Target="https://www.westlaw.com/Link/Document/FullText?findType=Y&amp;serNum=2079745331&amp;pubNum=0004644&amp;originatingDoc=If5f29260f2cc11efa636e24a1ff572cc&amp;refType=RP&amp;fi=co_pp_sp_4644_223&amp;originationContext=document&amp;vr=3.0&amp;rs=cblt1.0&amp;transitionType=DocumentItem&amp;contextData=(sc.DocLink)#co_pp_sp_4644_223"/>
  <Relationship Id="r50"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5ba1000067d06"/>
  <Relationship Id="r51"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ae0d0000c5150"/>
  <Relationship Id="r52"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16f4000091d86"/>
  <Relationship Id="r53"
    Type="http://schemas.openxmlformats.org/officeDocument/2006/relationships/hyperlink"
    TargetMode="External"
    Target="https://www.westlaw.com/Link/Document/FullText?findType=L&amp;pubNum=1003817&amp;cite=TXRRCPR22&amp;originatingDoc=If5f29260f2cc11efa636e24a1ff572cc&amp;refType=LQ&amp;originationContext=document&amp;vr=3.0&amp;rs=cblt1.0&amp;transitionType=DocumentItem&amp;contextData=(sc.DocLink)"/>
  <Relationship Id="r54"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16f4000091d86"/>
  <Relationship Id="r55"
    Type="http://schemas.openxmlformats.org/officeDocument/2006/relationships/hyperlink"
    TargetMode="External"
    Target="https://www.westlaw.com/Link/Document/FullText?findType=L&amp;pubNum=1003817&amp;cite=TXRRCPR355&amp;originatingDoc=If5f29260f2cc11efa636e24a1ff572cc&amp;refType=RB&amp;originationContext=document&amp;vr=3.0&amp;rs=cblt1.0&amp;transitionType=DocumentItem&amp;contextData=(sc.DocLink)#co_pp_7fdd00001ca15"/>
  <Relationship Id="r56"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8b3b0000958a4"/>
  <Relationship Id="r57"
    Type="http://schemas.openxmlformats.org/officeDocument/2006/relationships/hyperlink"
    TargetMode="External"
    Target="https://www.westlaw.com/Link/Document/FullText?findType=L&amp;pubNum=1000176&amp;cite=TXGTS25A.006&amp;originatingDoc=If5f29260f2cc11efa636e24a1ff572cc&amp;refType=RB&amp;originationContext=document&amp;vr=3.0&amp;rs=cblt1.0&amp;transitionType=DocumentItem&amp;contextData=(sc.DocLink)#co_pp_5ba1000067d06"/>
  <Relationship Id="r58"
    Type="http://schemas.openxmlformats.org/officeDocument/2006/relationships/hyperlink"
    TargetMode="External"
    Target="https://www.westlaw.com/Link/Document/FullText?findType=L&amp;pubNum=1000176&amp;cite=TXGTS25A.006&amp;originatingDoc=If5f29260f2cc11efa636e24a1ff572cc&amp;refType=RE&amp;originationContext=document&amp;vr=3.0&amp;rs=cblt1.0&amp;transitionType=DocumentItem&amp;contextData=(sc.DocLink)#co_pp_16f4000091d86"/>
  <Relationship Id="r59"
    Type="http://schemas.openxmlformats.org/officeDocument/2006/relationships/hyperlink"
    TargetMode="External"
    Target="https://www.westlaw.com/Link/Document/FullText?findType=Y&amp;serNum=1998197096&amp;pubNum=0000713&amp;originatingDoc=If5f29260f2cc11efa636e24a1ff572cc&amp;refType=RP&amp;fi=co_pp_sp_713_735&amp;originationContext=document&amp;vr=3.0&amp;rs=cblt1.0&amp;transitionType=DocumentItem&amp;contextData=(sc.DocLink)#co_pp_sp_713_735"/>
  <Relationship Id="r60"
    Type="http://schemas.openxmlformats.org/officeDocument/2006/relationships/hyperlink"
    TargetMode="External"
    Target="https://www.westlaw.com/Link/Document/FullText?findType=Y&amp;serNum=2050792045&amp;pubNum=0004644&amp;originatingDoc=If5f29260f2cc11efa636e24a1ff572cc&amp;refType=RP&amp;fi=co_pp_sp_4644_787&amp;originationContext=document&amp;vr=3.0&amp;rs=cblt1.0&amp;transitionType=DocumentItem&amp;contextData=(sc.DocLink)#co_pp_sp_4644_787"/>
  <Relationship Id="r61"
    Type="http://schemas.openxmlformats.org/officeDocument/2006/relationships/hyperlink"
    TargetMode="External"
    Target="https://www.westlaw.com/Link/Document/FullText?findType=L&amp;pubNum=1000170&amp;cite=TXCPS16.064&amp;originatingDoc=If5f29260f2cc11efa636e24a1ff572cc&amp;refType=RB&amp;originationContext=document&amp;vr=3.0&amp;rs=cblt1.0&amp;transitionType=DocumentItem&amp;contextData=(sc.DocLink)#co_pp_7b9b000044381"/>
  <Relationship Id="r62"
    Type="http://schemas.openxmlformats.org/officeDocument/2006/relationships/hyperlink"
    TargetMode="External"
    Target="https://www.westlaw.com/Link/Document/FullText?findType=L&amp;pubNum=1003817&amp;cite=TXRRCPR357&amp;originatingDoc=If5f29260f2cc11efa636e24a1ff572cc&amp;refType=LQ&amp;originationContext=document&amp;vr=3.0&amp;rs=cblt1.0&amp;transitionType=DocumentItem&amp;contextData=(sc.DocLink)"/>
  <Relationship Id="r63"
    Type="http://schemas.openxmlformats.org/officeDocument/2006/relationships/hyperlink"
    TargetMode="External"
    Target="https://www.westlaw.com/Link/Document/FullText?findType=L&amp;pubNum=1000170&amp;cite=TXCPS38.001&amp;originatingDoc=If5f29260f2cc11efa636e24a1ff572cc&amp;refType=LQ&amp;originationContext=document&amp;vr=3.0&amp;rs=cblt1.0&amp;transitionType=DocumentItem&amp;contextData=(sc.DocLink)"/>
  <Relationship Id="r64"
    Type="http://schemas.openxmlformats.org/officeDocument/2006/relationships/hyperlink"
    TargetMode="External"
    Target="https://www.westlaw.com/Link/Document/FullText?findType=Y&amp;serNum=2010205178&amp;pubNum=0004644&amp;originatingDoc=If5f29260f2cc11efa636e24a1ff572cc&amp;refType=RP&amp;fi=co_pp_sp_4644_673&amp;originationContext=document&amp;vr=3.0&amp;rs=cblt1.0&amp;transitionType=DocumentItem&amp;contextData=(sc.DocLink)#co_pp_sp_4644_673"/>
  <Relationship Id="r65"
    Type="http://schemas.openxmlformats.org/officeDocument/2006/relationships/hyperlink"
    TargetMode="External"
    Target="https://www.westlaw.com/Link/Document/FullText?findType=Y&amp;serNum=1978111444&amp;pubNum=0000713&amp;originatingDoc=If5f29260f2cc11efa636e24a1ff572cc&amp;refType=RP&amp;fi=co_pp_sp_713_849&amp;originationContext=document&amp;vr=3.0&amp;rs=cblt1.0&amp;transitionType=DocumentItem&amp;contextData=(sc.DocLink)#co_pp_sp_713_849"/>
  <Relationship Id="r66"
    Type="http://schemas.openxmlformats.org/officeDocument/2006/relationships/hyperlink"
    TargetMode="External"
    Target="https://www.westlaw.com/Link/Document/FullText?findType=Y&amp;serNum=2009470690&amp;pubNum=0004644&amp;originatingDoc=If5f29260f2cc11efa636e24a1ff572cc&amp;refType=RP&amp;fi=co_pp_sp_4644_566&amp;originationContext=document&amp;vr=3.0&amp;rs=cblt1.0&amp;transitionType=DocumentItem&amp;contextData=(sc.DocLink)#co_pp_sp_4644_566"/>
  <Relationship Id="r67"
    Type="http://schemas.openxmlformats.org/officeDocument/2006/relationships/hyperlink"
    TargetMode="External"
    Target="https://www.westlaw.com/Link/Document/FullText?findType=Y&amp;serNum=2055552164&amp;pubNum=0004644&amp;originatingDoc=If5f29260f2cc11efa636e24a1ff572cc&amp;refType=RP&amp;fi=co_pp_sp_4644_549&amp;originationContext=document&amp;vr=3.0&amp;rs=cblt1.0&amp;transitionType=DocumentItem&amp;contextData=(sc.DocLink)#co_pp_sp_4644_549"/>
  <Relationship Id="r68"
    Type="http://schemas.openxmlformats.org/officeDocument/2006/relationships/hyperlink"
    TargetMode="External"
    Target="https://www.westlaw.com/Link/Document/FullText?findType=Y&amp;serNum=2074255376&amp;pubNum=0004644&amp;originatingDoc=If5f29260f2cc11efa636e24a1ff572cc&amp;refType=RP&amp;fi=co_pp_sp_4644_812&amp;originationContext=document&amp;vr=3.0&amp;rs=cblt1.0&amp;transitionType=DocumentItem&amp;contextData=(sc.DocLink)#co_pp_sp_4644_812"/>
  <Relationship Id="r69"
    Type="http://schemas.openxmlformats.org/officeDocument/2006/relationships/hyperlink"
    TargetMode="External"
    Target="https://www.westlaw.com/Link/Document/FullText?findType=Y&amp;serNum=1996154144&amp;pubNum=0000713&amp;originatingDoc=If5f29260f2cc11efa636e24a1ff572cc&amp;refType=RP&amp;fi=co_pp_sp_713_625&amp;originationContext=document&amp;vr=3.0&amp;rs=cblt1.0&amp;transitionType=DocumentItem&amp;contextData=(sc.DocLink)#co_pp_sp_713_625"/>
  <Relationship Id="r70"
    Type="http://schemas.openxmlformats.org/officeDocument/2006/relationships/hyperlink"
    TargetMode="External"
    Target="https://www.westlaw.com/Link/Document/FullText?findType=Y&amp;serNum=2018626600&amp;pubNum=0004644&amp;originatingDoc=If5f29260f2cc11efa636e24a1ff572cc&amp;refType=RP&amp;fi=co_pp_sp_4644_842&amp;originationContext=document&amp;vr=3.0&amp;rs=cblt1.0&amp;transitionType=DocumentItem&amp;contextData=(sc.DocLink)#co_pp_sp_4644_842"/>
  <Relationship Id="r71"
    Type="http://schemas.openxmlformats.org/officeDocument/2006/relationships/hyperlink"
    TargetMode="External"
    Target="https://www.westlaw.com/Link/Document/FullText?findType=Y&amp;serNum=2053279391&amp;pubNum=0004644&amp;originatingDoc=If5f29260f2cc11efa636e24a1ff572cc&amp;refType=RP&amp;fi=co_pp_sp_4644_872&amp;originationContext=document&amp;vr=3.0&amp;rs=cblt1.0&amp;transitionType=DocumentItem&amp;contextData=(sc.DocLink)#co_pp_sp_4644_872"/>
  <Relationship Id="r72"
    Type="http://schemas.openxmlformats.org/officeDocument/2006/relationships/hyperlink"
    TargetMode="External"
    Target="https://www.westlaw.com/Link/Document/FullText?findType=Y&amp;serNum=2004994336&amp;pubNum=0004644&amp;originatingDoc=If5f29260f2cc11efa636e24a1ff572cc&amp;refType=RP&amp;fi=co_pp_sp_4644_136&amp;originationContext=document&amp;vr=3.0&amp;rs=cblt1.0&amp;transitionType=DocumentItem&amp;contextData=(sc.DocLink)#co_pp_sp_4644_136"/>
  <Relationship Id="r73"
    Type="http://schemas.openxmlformats.org/officeDocument/2006/relationships/hyperlink"
    TargetMode="External"
    Target="https://www.westlaw.com/Link/Document/FullText?findType=Y&amp;serNum=2004994336&amp;pubNum=0004644&amp;originatingDoc=If5f29260f2cc11efa636e24a1ff572cc&amp;refType=RP&amp;fi=co_pp_sp_4644_137&amp;originationContext=document&amp;vr=3.0&amp;rs=cblt1.0&amp;transitionType=DocumentItem&amp;contextData=(sc.DocLink)#co_pp_sp_4644_137"/>
  <Relationship Id="r74"
    Type="http://schemas.openxmlformats.org/officeDocument/2006/relationships/hyperlink"
    TargetMode="External"
    Target="https://www.westlaw.com/Link/Document/FullText?findType=L&amp;pubNum=1005293&amp;cite=TXRRAPR52.4&amp;originatingDoc=If5f29260f2cc11efa636e24a1ff572cc&amp;refType=LQ&amp;originationContext=document&amp;vr=3.0&amp;rs=cblt1.0&amp;transitionType=DocumentItem&amp;contextData=(sc.DocLink)"/>
  <Relationship Id="r75"
    Type="http://schemas.openxmlformats.org/officeDocument/2006/relationships/hyperlink"
    TargetMode="External"
    Target="https://www.westlaw.com/Link/Document/FullText?findType=L&amp;pubNum=1005293&amp;cite=TXRRAPR52.8&amp;originatingDoc=If5f29260f2cc11efa636e24a1ff572cc&amp;refType=LQ&amp;originationContext=document&amp;vr=3.0&amp;rs=cblt1.0&amp;transitionType=DocumentItem&amp;contextData=(sc.DocLink)"/>
  <Relationship Id="r76"
    Type="http://schemas.openxmlformats.org/officeDocument/2006/relationships/hyperlink"
    TargetMode="External"
    Target="https://www.westlaw.com/Link/Document/FullText?findType=L&amp;pubNum=1000176&amp;cite=TXGTS25A.004&amp;originatingDoc=If5f29260f2cc11efa636e24a1ff572cc&amp;refType=LQ&amp;originationContext=document&amp;vr=3.0&amp;rs=cblt1.0&amp;transitionType=DocumentItem&amp;contextData=(sc.DocLink)"/>
  <Relationship Id="r77"
    Type="http://schemas.openxmlformats.org/officeDocument/2006/relationships/hyperlink"
    TargetMode="External"
    Target="https://www.westlaw.com/Link/Document/FullText?findType=L&amp;pubNum=1000176&amp;cite=TXGTS25A.004&amp;originatingDoc=If5f29260f2cc11efa636e24a1ff572cc&amp;refType=RB&amp;originationContext=document&amp;vr=3.0&amp;rs=cblt1.0&amp;transitionType=DocumentItem&amp;contextData=(sc.DocLink)#co_pp_f383000077b35"/>
  <Relationship Id="r78"
    Type="http://schemas.openxmlformats.org/officeDocument/2006/relationships/hyperlink"
    TargetMode="External"
    Target="https://www.westlaw.com/Link/Document/FullText?findType=Y&amp;serNum=2034843425&amp;pubNum=0004644&amp;originatingDoc=If5f29260f2cc11efa636e24a1ff572cc&amp;refType=RP&amp;fi=co_pp_sp_4644_528&amp;originationContext=document&amp;vr=3.0&amp;rs=cblt1.0&amp;transitionType=DocumentItem&amp;contextData=(sc.DocLink)#co_pp_sp_4644_528"/>
  <Relationship Id="r79"
    Type="http://schemas.openxmlformats.org/officeDocument/2006/relationships/hyperlink"
    TargetMode="External"
    Target="https://www.westlaw.com/Link/Document/FullText?findType=L&amp;pubNum=1003817&amp;cite=TXRRCPR2&amp;originatingDoc=If5f29260f2cc11efa636e24a1ff572cc&amp;refType=LQ&amp;originationContext=document&amp;vr=3.0&amp;rs=cblt1.0&amp;transitionType=DocumentItem&amp;contextData=(sc.DocLink)"/>
  <Relationship Id="r80"
    Type="http://schemas.openxmlformats.org/officeDocument/2006/relationships/hyperlink"
    TargetMode="External"
    Target="https://www.westlaw.com/Link/Document/FullText?findType=L&amp;pubNum=1003817&amp;cite=TXRRCPR360&amp;originatingDoc=If5f29260f2cc11efa636e24a1ff572cc&amp;refType=LQ&amp;originationContext=document&amp;vr=3.0&amp;rs=cblt1.0&amp;transitionType=DocumentItem&amp;contextData=(sc.DocLink)"/>
  <Relationship Id="r81"
    Type="http://schemas.openxmlformats.org/officeDocument/2006/relationships/hyperlink"
    TargetMode="External"
    Target="https://www.westlaw.com/Link/Document/FullText?findType=Y&amp;serNum=2004994336&amp;pubNum=0004644&amp;originatingDoc=If5f29260f2cc11efa636e24a1ff572cc&amp;refType=RP&amp;fi=co_pp_sp_4644_136&amp;originationContext=document&amp;vr=3.0&amp;rs=cblt1.0&amp;transitionType=DocumentItem&amp;contextData=(sc.DocLink)#co_pp_sp_4644_136"/>
  <Relationship Id="r82"
    Type="http://schemas.openxmlformats.org/officeDocument/2006/relationships/hyperlink"
    TargetMode="External"
    Target="https://www.westlaw.com/Link/Document/FullText?findType=Y&amp;serNum=2004994336&amp;pubNum=0004644&amp;originatingDoc=If5f29260f2cc11efa636e24a1ff572cc&amp;refType=RP&amp;originationContext=document&amp;vr=3.0&amp;rs=cblt1.0&amp;transitionType=DocumentItem&amp;contextData=(sc.DocLink)"/>
  <Relationship Id="r83"
    Type="http://schemas.openxmlformats.org/officeDocument/2006/relationships/hyperlink"
    TargetMode="External"
    Target="https://www.westlaw.com/Link/Document/FullText?findType=L&amp;pubNum=1000176&amp;cite=TXGTS25A.015&amp;originatingDoc=If5f29260f2cc11efa636e24a1ff572cc&amp;refType=RB&amp;originationContext=document&amp;vr=3.0&amp;rs=cblt1.0&amp;transitionType=DocumentItem&amp;contextData=(sc.DocLink)#co_pp_4b24000003ba5"/>
  <Relationship Id="r84"
    Type="http://schemas.openxmlformats.org/officeDocument/2006/relationships/hyperlink"
    TargetMode="External"
    Target="https://www.westlaw.com/Link/Document/FullText?findType=Y&amp;serNum=2016886469&amp;pubNum=0004644&amp;originatingDoc=If5f29260f2cc11efa636e24a1ff572cc&amp;refType=RP&amp;fi=co_pp_sp_4644_461&amp;originationContext=document&amp;vr=3.0&amp;rs=cblt1.0&amp;transitionType=DocumentItem&amp;contextData=(sc.DocLink)#co_pp_sp_4644_461"/>
  <Relationship Id="r85"
    Type="http://schemas.openxmlformats.org/officeDocument/2006/relationships/hyperlink"
    TargetMode="External"
    Target="https://www.westlaw.com/Link/Document/FullText?findType=Y&amp;serNum=2016886469&amp;pubNum=0004644&amp;originatingDoc=If5f29260f2cc11efa636e24a1ff572cc&amp;refType=RP&amp;fi=co_pp_sp_4644_461&amp;originationContext=document&amp;vr=3.0&amp;rs=cblt1.0&amp;transitionType=DocumentItem&amp;contextData=(sc.DocLink)#co_pp_sp_4644_461"/>
</Relationships>

</file>

<file path=_rels/footer1.xml.rels><?xml version="1.0" encoding="UTF-8"?>
<Relationships xmlns="http://schemas.openxmlformats.org/package/2006/relationships">
  <Relationship Id="r1"
    Type="http://schemas.openxmlformats.org/officeDocument/2006/relationships/image"
    Target="images/1.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f5f29260f2cc11efa636e24a1ff572cc_Targe"/>
      <w:bookmarkEnd w:id="1"/>
    </w:p>
    <w:bookmarkEnd w:id="0"/>
    <w:p>
      <w:pPr>
        <w:spacing w:before="0" w:after="0" w:line="275" w:lineRule="atLeast"/>
        <w:jc w:val="center"/>
      </w:pPr>
      <w:r>
        <w:rPr>
          <w:rFonts w:ascii="Georgia" w:hAnsi="Georgia"/>
          <w:color w:val="1f1f1f"/>
          <w:sz w:val="20"/>
        </w:rPr>
        <w:t>2025 WL 582320</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Court of Appeals of Texas (15th Dist.).</w:t>
      </w:r>
    </w:p>
    <w:p>
      <w:pPr>
        <w:spacing w:before="200" w:after="0" w:line="300" w:lineRule="atLeast"/>
        <w:ind w:left="100" w:right="100" w:firstLine="0"/>
        <w:jc w:val="center"/>
      </w:pPr>
      <w:r>
        <w:rPr>
          <w:rFonts w:ascii="Georgia" w:hAnsi="Georgia"/>
          <w:color w:val="212121"/>
          <w:sz w:val="20"/>
        </w:rPr>
        <w:t>IN RE ETC FIELD SERVICES, LLC, Relator</w:t>
      </w:r>
    </w:p>
    <w:p>
      <w:pPr>
        <w:pBdr>
          <w:left w:val="none" w:space="8"/>
        </w:pBdr>
        <w:spacing w:before="200" w:after="0" w:line="275" w:lineRule="atLeast"/>
        <w:ind w:left="150" w:right="0" w:firstLine="0"/>
        <w:jc w:val="center"/>
      </w:pPr>
      <w:r>
        <w:rPr>
          <w:rFonts w:ascii="Georgia" w:hAnsi="Georgia"/>
          <w:color w:val="1f1f1f"/>
          <w:sz w:val="20"/>
        </w:rPr>
        <w:t>NO. 15-24-00131-CV</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Opinion filed February 21, 2025</w:t>
      </w:r>
    </w:p>
    <w:bookmarkStart w:id="2" w:name="co_synopsis_1"/>
    <w:p>
      <w:pPr>
        <w:keepNext/>
        <w:keepLines/>
        <w:spacing w:before="600" w:after="0" w:line="275" w:lineRule="atLeast"/>
        <w:jc w:val="both"/>
      </w:pPr>
      <w:r>
        <w:rPr>
          <w:rFonts w:ascii="Times New Roman" w:hAnsi="Times New Roman"/>
          <w:b/>
          <w:color w:val="212121"/>
          <w:sz w:val="20"/>
        </w:rPr>
        <w:t>Synopsis</w:t>
      </w:r>
    </w:p>
    <w:bookmarkEnd w:id="2"/>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Limited liability company (LLC) brought original proceeding for mandamus, challenging order of the Business Court, </w:t>
      </w:r>
      <w:hyperlink r:id="r7">
        <w:r>
          <w:rPr>
            <w:rFonts w:ascii="Times New Roman" w:hAnsi="Times New Roman"/>
            <w:color w:val="006fc4"/>
            <w:sz w:val="20"/>
          </w:rPr>
          <w:t>2024 WL 5337411</w:t>
        </w:r>
      </w:hyperlink>
      <w:r>
        <w:rPr>
          <w:rFonts w:ascii="Times New Roman" w:hAnsi="Times New Roman"/>
          <w:color w:val="1f1f1f"/>
          <w:sz w:val="20"/>
        </w:rPr>
        <w:t>, which remanded gas company's action against LLC for negligence and breach of gas purchase contract to judicial district court after LLC had filed notice of removal to Business Court.</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The Court of Appeals, </w:t>
      </w:r>
      <w:hyperlink r:id="r8">
        <w:r>
          <w:rPr>
            <w:rFonts w:ascii="Times New Roman" w:hAnsi="Times New Roman"/>
            <w:color w:val="006fc4"/>
            <w:sz w:val="20"/>
          </w:rPr>
          <w:t>Brister</w:t>
        </w:r>
      </w:hyperlink>
      <w:r>
        <w:rPr>
          <w:rFonts w:ascii="Times New Roman" w:hAnsi="Times New Roman"/>
          <w:color w:val="1f1f1f"/>
          <w:sz w:val="20"/>
        </w:rPr>
        <w:t>, C.J.,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2082955422_1">
        <w:r>
          <w:rPr>
            <w:rFonts w:ascii="Times New Roman" w:hAnsi="Times New Roman"/>
            <w:color w:val="006fc4"/>
            <w:sz w:val="20"/>
            <w:vertAlign w:val="superscript"/>
          </w:rPr>
          <w:t>[1]</w:t>
        </w:r>
      </w:hyperlink>
      <w:r>
        <w:rPr>
          <w:rFonts w:ascii="Times New Roman" w:hAnsi="Times New Roman"/>
          <w:color w:val="1f1f1f"/>
          <w:sz w:val="20"/>
        </w:rPr>
        <w:t xml:space="preserve"> Business Court did not abuse its discretion by remanding gas company's action against LLC to judicial district court, and</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42082955422_1">
        <w:r>
          <w:rPr>
            <w:rFonts w:ascii="Times New Roman" w:hAnsi="Times New Roman"/>
            <w:color w:val="006fc4"/>
            <w:sz w:val="20"/>
            <w:vertAlign w:val="superscript"/>
          </w:rPr>
          <w:t>[2]</w:t>
        </w:r>
      </w:hyperlink>
      <w:r>
        <w:rPr>
          <w:rFonts w:ascii="Times New Roman" w:hAnsi="Times New Roman"/>
          <w:color w:val="1f1f1f"/>
          <w:sz w:val="20"/>
        </w:rPr>
        <w:t xml:space="preserve"> extended mandamus review of Business Court's remand order was not warranted.</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Petition denied.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See also </w:t>
      </w:r>
      <w:hyperlink r:id="r9">
        <w:r>
          <w:rPr>
            <w:rFonts w:ascii="Times New Roman" w:hAnsi="Times New Roman"/>
            <w:color w:val="006fc4"/>
            <w:sz w:val="20"/>
          </w:rPr>
          <w:t>2025 WL 582317</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Petition for Writ of Mandamus; Motion for Remand.</w:t>
      </w:r>
    </w:p>
    <w:bookmarkStart w:id="3" w:name="co_headnotes_1"/>
    <w:bookmarkStart w:id="4"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(6)</w:t>
      </w:r>
    </w:p>
    <w:bookmarkEnd w:id="4"/>
    <w:bookmarkEnd w:id="3"/>
    <w:p>
      <w:pPr>
        <w:spacing w:before="0" w:after="0" w:line="240" w:lineRule="auto"/>
        <w:rPr>
          <w:sz w:val="20"/>
        </w:rPr>
      </w:pPr>
    </w:p>
    <w:tbl>
      <w:tblPr>
        <w:tblInd w:w="30" w:type="dxa"/>
        <w:tblLayout w:type="fixed"/>
      </w:tblPr>
      <w:tblGrid>
        <w:gridCol w:w="600"/>
        <w:gridCol w:w="4035"/>
      </w:tblGrid>
      <w:bookmarkStart w:id="5" w:name="co_expandedHeadnotes_1"/>
      <w:bookmarkStart w:id="6" w:name="co_anchor_2082955422001_1"/>
      <w:bookmarkStart w:id="7" w:name="Athens_headnoteCell_F12082955422_1"/>
      <w:bookmarkStart w:id="8" w:name="co_headnotesTable_1"/>
      <w:tr>
        <w:tblPrEx/>
        <w:trPr/>
        <w:tc>
          <w:tcPr>
            <w:tcMar>
              <w:left w:w="30" w:type="dxa"/>
              <w:right w:w="30" w:type="dxa"/>
            </w:tcMar>
            <w:vAlign w:val="top"/>
          </w:tcPr>
          <w:p>
            <w:pPr>
              <w:spacing w:before="0" w:after="0" w:line="275" w:lineRule="atLeast"/>
            </w:pPr>
            <w:bookmarkStart w:id="9" w:name="co_anchor_F12082955422_1"/>
            <w:bookmarkStart w:id="10" w:name="co_anchor_headNote_[1]_1"/>
            <w:hyperlink w:anchor="co_pp_HNF1_1">
              <w:r>
                <w:rPr>
                  <w:rFonts w:ascii="Times New Roman" w:hAnsi="Times New Roman"/>
                  <w:b/>
                  <w:color w:val="006fc4"/>
                  <w:sz w:val="20"/>
                  <w:vertAlign w:val="superscript"/>
                </w:rPr>
                <w:t>[1]</w:t>
              </w:r>
            </w:hyperlink>
            <w:bookmarkEnd w:id="10"/>
            <w:bookmarkEnd w:id="9"/>
          </w:p>
        </w:tc>
        <w:tc>
          <w:tcPr>
            <w:tcMar>
              <w:left w:w="30" w:type="dxa"/>
              <w:right w:w="30" w:type="dxa"/>
            </w:tcMar>
            <w:vAlign w:val="top"/>
          </w:tcPr>
          <w:p>
            <w:pPr>
              <w:pBdr>
                <w:bottom w:val="none" w:space="2"/>
              </w:pBdr>
              <w:spacing w:before="0" w:after="0" w:line="275" w:lineRule="atLeast"/>
            </w:pPr>
            <w:hyperlink r:id="r10">
              <w:r>
                <w:rPr>
                  <w:rFonts w:ascii="Times New Roman" w:hAnsi="Times New Roman"/>
                  <w:b/>
                  <w:color w:val="006fc4"/>
                  <w:sz w:val="20"/>
                </w:rPr>
                <w:t>Mandamus</w:t>
              </w:r>
            </w:hyperlink>
            <w:r>
              <w:rPr>
                <w:rFonts w:ascii="Times New Roman" w:hAnsi="Times New Roman"/>
                <w:color w:val="1f1f1f"/>
                <w:sz w:val="20"/>
              </w:rPr>
              <w:drawing>
                <wp:inline>
                  <wp:extent cx="133350" cy="76200"/>
                  <wp:docPr id="1" name="Picture 1" descr="Display Key Number Topics"/>
                  <a:graphic>
                    <a:graphicData uri="http://schemas.openxmlformats.org/drawingml/2006/picture">
                      <p:pic>
                        <p:nvPicPr>
                          <p:cNvPr id="2"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8"/>
      <w:bookmarkEnd w:id="7"/>
      <w:bookmarkEnd w:id="6"/>
      <w:bookmarkEnd w:id="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Mandamus relief is available if the relator establishes a clear abuse of discretion for which there is no adequate appellate remedy.</w:t>
            </w:r>
          </w:p>
        </w:tc>
      </w:tr>
    </w:tbl>
    <w:p>
      <w:pPr>
        <w:spacing w:before="0" w:after="0" w:line="240" w:lineRule="auto"/>
        <w:rPr>
          <w:sz w:val="20"/>
        </w:rPr>
      </w:pPr>
    </w:p>
    <w:tbl>
      <w:tblPr>
        <w:tblInd w:w="30" w:type="dxa"/>
        <w:tblLayout w:type="fixed"/>
      </w:tblPr>
      <w:tblGrid>
        <w:gridCol w:w="600"/>
        <w:gridCol w:w="4035"/>
      </w:tblGrid>
      <w:bookmarkStart w:id="11" w:name="co_headnoteId_2082955422001202503141123"/>
      <w:bookmarkStart w:id="12" w:name="co_anchor_2082955422003_1"/>
      <w:bookmarkStart w:id="13" w:name="Athens_headnoteCell_F22082955422_1"/>
      <w:bookmarkStart w:id="14" w:name="co_headnotesTable_0_1"/>
      <w:tr>
        <w:tblPrEx/>
        <w:trPr/>
        <w:tc>
          <w:tcPr>
            <w:tcMar>
              <w:left w:w="30" w:type="dxa"/>
              <w:right w:w="30" w:type="dxa"/>
            </w:tcMar>
            <w:vAlign w:val="top"/>
          </w:tcPr>
          <w:p>
            <w:pPr>
              <w:spacing w:before="0" w:after="0" w:line="275" w:lineRule="atLeast"/>
            </w:pPr>
            <w:bookmarkStart w:id="15" w:name="co_anchor_F22082955422_1"/>
            <w:bookmarkStart w:id="16" w:name="co_anchor_headNote_[2]_1"/>
            <w:hyperlink w:anchor="co_pp_HNF2_1">
              <w:r>
                <w:rPr>
                  <w:rFonts w:ascii="Times New Roman" w:hAnsi="Times New Roman"/>
                  <w:b/>
                  <w:color w:val="006fc4"/>
                  <w:sz w:val="20"/>
                  <w:vertAlign w:val="superscript"/>
                </w:rPr>
                <w:t>[2]</w:t>
              </w:r>
            </w:hyperlink>
            <w:bookmarkEnd w:id="16"/>
            <w:bookmarkEnd w:id="15"/>
          </w:p>
        </w:tc>
        <w:tc>
          <w:tcPr>
            <w:tcMar>
              <w:left w:w="30" w:type="dxa"/>
              <w:right w:w="30" w:type="dxa"/>
            </w:tcMar>
            <w:vAlign w:val="top"/>
          </w:tcPr>
          <w:p>
            <w:pPr>
              <w:pBdr>
                <w:bottom w:val="none" w:space="2"/>
              </w:pBdr>
              <w:spacing w:before="0" w:after="0" w:line="275" w:lineRule="atLeast"/>
            </w:pPr>
            <w:hyperlink r:id="r12">
              <w:r>
                <w:rPr>
                  <w:rFonts w:ascii="Times New Roman" w:hAnsi="Times New Roman"/>
                  <w:b/>
                  <w:color w:val="006fc4"/>
                  <w:sz w:val="20"/>
                </w:rPr>
                <w:t>Courts</w:t>
              </w:r>
            </w:hyperlink>
            <w:r>
              <w:rPr>
                <w:rFonts w:ascii="Times New Roman" w:hAnsi="Times New Roman"/>
                <w:color w:val="1f1f1f"/>
                <w:sz w:val="20"/>
              </w:rPr>
              <w:drawing>
                <wp:inline>
                  <wp:extent cx="133350" cy="76200"/>
                  <wp:docPr id="3" name="Picture 1" descr="Display Key Number Topics"/>
                  <a:graphic>
                    <a:graphicData uri="http://schemas.openxmlformats.org/drawingml/2006/picture">
                      <p:pic>
                        <p:nvPicPr>
                          <p:cNvPr id="4"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14"/>
      <w:bookmarkEnd w:id="13"/>
      <w:bookmarkEnd w:id="12"/>
      <w:bookmarkEnd w:id="1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Business Court did not abuse its discretion by remanding gas company's action against limited liability company (LLC) for negligence and breach of gas purchase contract to judicial district court after LLC had filed notice of removal to Business Court, as required for LLC to be entitled to mandamus relief challenging Business Court's remand order; removal of an action to Business Court did not apply to cases commenced elsewhere before date specified in legislation creating the Business Court, gas company's action against LLC was commenced in judicial district court before that date, and LLC's removal did not commence a new civil action but continued a previous one in a different court. </w:t>
            </w:r>
            <w:hyperlink r:id="r13">
              <w:r>
                <w:rPr>
                  <w:rFonts w:ascii="Times New Roman" w:hAnsi="Times New Roman"/>
                  <w:color w:val="006fc4"/>
                  <w:sz w:val="20"/>
                </w:rPr>
                <w:t>Tex. Gov't Code Ann. §§ 25A.006(a)</w:t>
              </w:r>
            </w:hyperlink>
            <w:r>
              <w:rPr>
                <w:rFonts w:ascii="Times New Roman" w:hAnsi="Times New Roman"/>
                <w:color w:val="1f1f1f"/>
                <w:sz w:val="20"/>
              </w:rPr>
              <w:t xml:space="preserve">, </w:t>
            </w:r>
            <w:hyperlink r:id="r14">
              <w:r>
                <w:rPr>
                  <w:rFonts w:ascii="Times New Roman" w:hAnsi="Times New Roman"/>
                  <w:color w:val="006fc4"/>
                  <w:sz w:val="20"/>
                </w:rPr>
                <w:t>25A.006(g)</w:t>
              </w:r>
            </w:hyperlink>
            <w:r>
              <w:rPr>
                <w:rFonts w:ascii="Times New Roman" w:hAnsi="Times New Roman"/>
                <w:color w:val="1f1f1f"/>
                <w:sz w:val="20"/>
              </w:rPr>
              <w:t>; Tex. R. Civ. P. 354, 355.</w:t>
            </w:r>
          </w:p>
        </w:tc>
      </w:tr>
    </w:tbl>
    <w:p>
      <w:pPr>
        <w:spacing w:before="0" w:after="0" w:line="240" w:lineRule="auto"/>
        <w:rPr>
          <w:sz w:val="20"/>
        </w:rPr>
      </w:pPr>
    </w:p>
    <w:tbl>
      <w:tblPr>
        <w:tblInd w:w="30" w:type="dxa"/>
        <w:tblLayout w:type="fixed"/>
      </w:tblPr>
      <w:tblGrid>
        <w:gridCol w:w="600"/>
        <w:gridCol w:w="4035"/>
      </w:tblGrid>
      <w:bookmarkStart w:id="17" w:name="co_headnoteId_2082955422003202503141123"/>
      <w:bookmarkStart w:id="18" w:name="co_anchor_2082955422002_1"/>
      <w:bookmarkStart w:id="19" w:name="Athens_headnoteCell_F32082955422_1"/>
      <w:bookmarkStart w:id="20" w:name="co_headnotesTable_1_1"/>
      <w:tr>
        <w:tblPrEx/>
        <w:trPr/>
        <w:tc>
          <w:tcPr>
            <w:tcMar>
              <w:left w:w="30" w:type="dxa"/>
              <w:right w:w="30" w:type="dxa"/>
            </w:tcMar>
            <w:vAlign w:val="top"/>
          </w:tcPr>
          <w:p>
            <w:pPr>
              <w:spacing w:before="0" w:after="0" w:line="275" w:lineRule="atLeast"/>
            </w:pPr>
            <w:bookmarkStart w:id="21" w:name="co_anchor_F32082955422_1"/>
            <w:bookmarkStart w:id="22" w:name="co_anchor_headNote_[3]_1"/>
            <w:hyperlink w:anchor="co_pp_HNF3_1">
              <w:r>
                <w:rPr>
                  <w:rFonts w:ascii="Times New Roman" w:hAnsi="Times New Roman"/>
                  <w:b/>
                  <w:color w:val="006fc4"/>
                  <w:sz w:val="20"/>
                  <w:vertAlign w:val="superscript"/>
                </w:rPr>
                <w:t>[3]</w:t>
              </w:r>
            </w:hyperlink>
            <w:bookmarkEnd w:id="22"/>
            <w:bookmarkEnd w:id="21"/>
          </w:p>
        </w:tc>
        <w:tc>
          <w:tcPr>
            <w:tcMar>
              <w:left w:w="30" w:type="dxa"/>
              <w:right w:w="30" w:type="dxa"/>
            </w:tcMar>
            <w:vAlign w:val="top"/>
          </w:tcPr>
          <w:p>
            <w:pPr>
              <w:pBdr>
                <w:bottom w:val="none" w:space="2"/>
              </w:pBdr>
              <w:spacing w:before="0" w:after="0" w:line="275" w:lineRule="atLeast"/>
            </w:pPr>
            <w:hyperlink r:id="r15">
              <w:r>
                <w:rPr>
                  <w:rFonts w:ascii="Times New Roman" w:hAnsi="Times New Roman"/>
                  <w:b/>
                  <w:color w:val="006fc4"/>
                  <w:sz w:val="20"/>
                </w:rPr>
                <w:t>Courts</w:t>
              </w:r>
            </w:hyperlink>
            <w:r>
              <w:rPr>
                <w:rFonts w:ascii="Times New Roman" w:hAnsi="Times New Roman"/>
                <w:color w:val="1f1f1f"/>
                <w:sz w:val="20"/>
              </w:rPr>
              <w:drawing>
                <wp:inline>
                  <wp:extent cx="133350" cy="76200"/>
                  <wp:docPr id="5" name="Picture 1" descr="Display Key Number Topics"/>
                  <a:graphic>
                    <a:graphicData uri="http://schemas.openxmlformats.org/drawingml/2006/picture">
                      <p:pic>
                        <p:nvPicPr>
                          <p:cNvPr id="6"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20"/>
      <w:bookmarkEnd w:id="19"/>
      <w:bookmarkEnd w:id="18"/>
      <w:bookmarkEnd w:id="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Civil action filed in local trial court before date specified in enabling legislation creating Business Court cannot properly be removed to Business Court after that date, since removal does not commence a new action in Business Court after act's effective date, but simply transfers a pre-existing one. </w:t>
            </w:r>
            <w:hyperlink r:id="r16">
              <w:r>
                <w:rPr>
                  <w:rFonts w:ascii="Times New Roman" w:hAnsi="Times New Roman"/>
                  <w:color w:val="006fc4"/>
                  <w:sz w:val="20"/>
                </w:rPr>
                <w:t>Tex. Gov't Code Ann. §§ 25A.006(a)</w:t>
              </w:r>
            </w:hyperlink>
            <w:r>
              <w:rPr>
                <w:rFonts w:ascii="Times New Roman" w:hAnsi="Times New Roman"/>
                <w:color w:val="1f1f1f"/>
                <w:sz w:val="20"/>
              </w:rPr>
              <w:t xml:space="preserve">, </w:t>
            </w:r>
            <w:hyperlink r:id="r17">
              <w:r>
                <w:rPr>
                  <w:rFonts w:ascii="Times New Roman" w:hAnsi="Times New Roman"/>
                  <w:color w:val="006fc4"/>
                  <w:sz w:val="20"/>
                </w:rPr>
                <w:t>25A.006(g)</w:t>
              </w:r>
            </w:hyperlink>
            <w:r>
              <w:rPr>
                <w:rFonts w:ascii="Times New Roman" w:hAnsi="Times New Roman"/>
                <w:color w:val="1f1f1f"/>
                <w:sz w:val="20"/>
              </w:rPr>
              <w:t xml:space="preserve">; </w:t>
            </w:r>
            <w:hyperlink r:id="r18">
              <w:r>
                <w:rPr>
                  <w:rFonts w:ascii="Times New Roman" w:hAnsi="Times New Roman"/>
                  <w:color w:val="006fc4"/>
                  <w:sz w:val="20"/>
                </w:rPr>
                <w:t>Tex. R. Civ. P. 355(e)</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3" w:name="co_headnoteId_2082955422002202503141123"/>
      <w:bookmarkStart w:id="24" w:name="co_anchor_2082955422010_1"/>
      <w:bookmarkStart w:id="25" w:name="Athens_headnoteCell_F42082955422_1"/>
      <w:bookmarkStart w:id="26" w:name="co_headnotesTable_2_1"/>
      <w:tr>
        <w:tblPrEx/>
        <w:trPr/>
        <w:tc>
          <w:tcPr>
            <w:tcMar>
              <w:left w:w="30" w:type="dxa"/>
              <w:right w:w="30" w:type="dxa"/>
            </w:tcMar>
            <w:vAlign w:val="top"/>
          </w:tcPr>
          <w:p>
            <w:pPr>
              <w:spacing w:before="0" w:after="0" w:line="275" w:lineRule="atLeast"/>
            </w:pPr>
            <w:bookmarkStart w:id="27" w:name="co_anchor_F42082955422_1"/>
            <w:bookmarkStart w:id="28" w:name="co_anchor_headNote_[4]_1"/>
            <w:hyperlink w:anchor="co_pp_HNF4_1">
              <w:r>
                <w:rPr>
                  <w:rFonts w:ascii="Times New Roman" w:hAnsi="Times New Roman"/>
                  <w:b/>
                  <w:color w:val="006fc4"/>
                  <w:sz w:val="20"/>
                  <w:vertAlign w:val="superscript"/>
                </w:rPr>
                <w:t>[4]</w:t>
              </w:r>
            </w:hyperlink>
            <w:bookmarkEnd w:id="28"/>
            <w:bookmarkEnd w:id="27"/>
          </w:p>
        </w:tc>
        <w:tc>
          <w:tcPr>
            <w:tcMar>
              <w:left w:w="30" w:type="dxa"/>
              <w:right w:w="30" w:type="dxa"/>
            </w:tcMar>
            <w:vAlign w:val="top"/>
          </w:tcPr>
          <w:p>
            <w:pPr>
              <w:pBdr>
                <w:bottom w:val="none" w:space="2"/>
              </w:pBdr>
              <w:spacing w:before="0" w:after="0" w:line="275" w:lineRule="atLeast"/>
            </w:pPr>
            <w:hyperlink r:id="r19">
              <w:r>
                <w:rPr>
                  <w:rFonts w:ascii="Times New Roman" w:hAnsi="Times New Roman"/>
                  <w:b/>
                  <w:color w:val="006fc4"/>
                  <w:sz w:val="20"/>
                </w:rPr>
                <w:t>Mandamus</w:t>
              </w:r>
            </w:hyperlink>
            <w:r>
              <w:rPr>
                <w:rFonts w:ascii="Times New Roman" w:hAnsi="Times New Roman"/>
                <w:color w:val="1f1f1f"/>
                <w:sz w:val="20"/>
              </w:rPr>
              <w:drawing>
                <wp:inline>
                  <wp:extent cx="133350" cy="76200"/>
                  <wp:docPr id="7" name="Picture 1" descr="Display Key Number Topics"/>
                  <a:graphic>
                    <a:graphicData uri="http://schemas.openxmlformats.org/drawingml/2006/picture">
                      <p:pic>
                        <p:nvPicPr>
                          <p:cNvPr id="8"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26"/>
      <w:bookmarkEnd w:id="25"/>
      <w:bookmarkEnd w:id="24"/>
      <w:bookmarkEnd w:id="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Extended mandamus review of Business Court's order remanding gas company's action against limited liability company (LLC) for negligence and breach of gas purchase contract to judicial district court after LLC had filed notice of removal to Business Court, i.e. whether there was no adequate remedy on appeal, was not warranted; parties had seven years to prepare for trial and requested preferential trial setting before action was removed, so many potential benefits of pretrial proceedings in specialized Business Court were so much water under the bridge, if trial proceeded before jury, it would have been before jury in same county regardless of removal or remand, and legislature had specifically designed effective date to preclude removal of cases commenced elsewhere before that date. </w:t>
            </w:r>
            <w:hyperlink r:id="r20">
              <w:r>
                <w:rPr>
                  <w:rFonts w:ascii="Times New Roman" w:hAnsi="Times New Roman"/>
                  <w:color w:val="006fc4"/>
                  <w:sz w:val="20"/>
                </w:rPr>
                <w:t>Tex. Gov't Code Ann. §§ 25A.006(a)</w:t>
              </w:r>
            </w:hyperlink>
            <w:r>
              <w:rPr>
                <w:rFonts w:ascii="Times New Roman" w:hAnsi="Times New Roman"/>
                <w:color w:val="1f1f1f"/>
                <w:sz w:val="20"/>
              </w:rPr>
              <w:t xml:space="preserve">, </w:t>
            </w:r>
            <w:hyperlink r:id="r21">
              <w:r>
                <w:rPr>
                  <w:rFonts w:ascii="Times New Roman" w:hAnsi="Times New Roman"/>
                  <w:color w:val="006fc4"/>
                  <w:sz w:val="20"/>
                </w:rPr>
                <w:t>25A.015(c)</w:t>
              </w:r>
            </w:hyperlink>
            <w:r>
              <w:rPr>
                <w:rFonts w:ascii="Times New Roman" w:hAnsi="Times New Roman"/>
                <w:color w:val="1f1f1f"/>
                <w:sz w:val="20"/>
              </w:rPr>
              <w:t xml:space="preserve">; </w:t>
            </w:r>
            <w:hyperlink r:id="r22">
              <w:r>
                <w:rPr>
                  <w:rFonts w:ascii="Times New Roman" w:hAnsi="Times New Roman"/>
                  <w:color w:val="006fc4"/>
                  <w:sz w:val="20"/>
                </w:rPr>
                <w:t>Tex. R. Civ. P. 355</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4035"/>
      </w:tblGrid>
      <w:bookmarkStart w:id="29" w:name="co_headnoteId_2082955422010202503141123"/>
      <w:bookmarkStart w:id="30" w:name="co_anchor_2082955422005_1"/>
      <w:bookmarkStart w:id="31" w:name="Athens_headnoteCell_F52082955422_1"/>
      <w:bookmarkStart w:id="32" w:name="co_headnotesTable_3_1"/>
      <w:tr>
        <w:tblPrEx/>
        <w:trPr/>
        <w:tc>
          <w:tcPr>
            <w:tcMar>
              <w:left w:w="30" w:type="dxa"/>
              <w:right w:w="30" w:type="dxa"/>
            </w:tcMar>
            <w:vAlign w:val="top"/>
          </w:tcPr>
          <w:p>
            <w:pPr>
              <w:spacing w:before="0" w:after="0" w:line="275" w:lineRule="atLeast"/>
            </w:pPr>
            <w:bookmarkStart w:id="33" w:name="co_anchor_F52082955422_1"/>
            <w:bookmarkStart w:id="34" w:name="co_anchor_headNote_[5]_1"/>
            <w:hyperlink w:anchor="co_pp_HNF5_1">
              <w:r>
                <w:rPr>
                  <w:rFonts w:ascii="Times New Roman" w:hAnsi="Times New Roman"/>
                  <w:b/>
                  <w:color w:val="006fc4"/>
                  <w:sz w:val="20"/>
                  <w:vertAlign w:val="superscript"/>
                </w:rPr>
                <w:t>[5]</w:t>
              </w:r>
            </w:hyperlink>
            <w:bookmarkEnd w:id="34"/>
            <w:bookmarkEnd w:id="33"/>
          </w:p>
        </w:tc>
        <w:tc>
          <w:tcPr>
            <w:tcMar>
              <w:left w:w="30" w:type="dxa"/>
              <w:right w:w="30" w:type="dxa"/>
            </w:tcMar>
            <w:vAlign w:val="top"/>
          </w:tcPr>
          <w:p>
            <w:pPr>
              <w:pBdr>
                <w:bottom w:val="none" w:space="2"/>
              </w:pBdr>
              <w:spacing w:before="0" w:after="0" w:line="275" w:lineRule="atLeast"/>
            </w:pPr>
            <w:hyperlink r:id="r23">
              <w:r>
                <w:rPr>
                  <w:rFonts w:ascii="Times New Roman" w:hAnsi="Times New Roman"/>
                  <w:b/>
                  <w:color w:val="006fc4"/>
                  <w:sz w:val="20"/>
                </w:rPr>
                <w:t>Mandamus</w:t>
              </w:r>
            </w:hyperlink>
            <w:r>
              <w:rPr>
                <w:rFonts w:ascii="Times New Roman" w:hAnsi="Times New Roman"/>
                <w:color w:val="1f1f1f"/>
                <w:sz w:val="20"/>
              </w:rPr>
              <w:drawing>
                <wp:inline>
                  <wp:extent cx="133350" cy="76200"/>
                  <wp:docPr id="9" name="Picture 1" descr="Display Key Number Topics"/>
                  <a:graphic>
                    <a:graphicData uri="http://schemas.openxmlformats.org/drawingml/2006/picture">
                      <p:pic>
                        <p:nvPicPr>
                          <p:cNvPr id="10"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32"/>
      <w:bookmarkEnd w:id="31"/>
      <w:bookmarkEnd w:id="30"/>
      <w:bookmarkEnd w:id="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Absence of right to interlocutory appeal neither requires nor precludes mandamus review.</w:t>
            </w:r>
          </w:p>
        </w:tc>
      </w:tr>
    </w:tbl>
    <w:p>
      <w:pPr>
        <w:spacing w:before="0" w:after="0" w:line="240" w:lineRule="auto"/>
        <w:rPr>
          <w:sz w:val="20"/>
        </w:rPr>
      </w:pPr>
    </w:p>
    <w:tbl>
      <w:tblPr>
        <w:tblInd w:w="30" w:type="dxa"/>
        <w:tblLayout w:type="fixed"/>
      </w:tblPr>
      <w:tblGrid>
        <w:gridCol w:w="600"/>
        <w:gridCol w:w="4035"/>
      </w:tblGrid>
      <w:bookmarkStart w:id="35" w:name="co_headnoteId_2082955422005202503141123"/>
      <w:bookmarkStart w:id="36" w:name="co_anchor_2082955422006_1"/>
      <w:bookmarkStart w:id="37" w:name="Athens_headnoteCell_F62082955422_1"/>
      <w:bookmarkStart w:id="38" w:name="co_headnotesTable_4_1"/>
      <w:tr>
        <w:tblPrEx/>
        <w:trPr/>
        <w:tc>
          <w:tcPr>
            <w:tcMar>
              <w:left w:w="30" w:type="dxa"/>
              <w:right w:w="30" w:type="dxa"/>
            </w:tcMar>
            <w:vAlign w:val="top"/>
          </w:tcPr>
          <w:p>
            <w:pPr>
              <w:spacing w:before="0" w:after="0" w:line="275" w:lineRule="atLeast"/>
            </w:pPr>
            <w:bookmarkStart w:id="39" w:name="co_anchor_F62082955422_1"/>
            <w:bookmarkStart w:id="40" w:name="co_anchor_headNote_[6]_1"/>
            <w:hyperlink w:anchor="co_pp_HNF6_1">
              <w:r>
                <w:rPr>
                  <w:rFonts w:ascii="Times New Roman" w:hAnsi="Times New Roman"/>
                  <w:b/>
                  <w:color w:val="006fc4"/>
                  <w:sz w:val="20"/>
                  <w:vertAlign w:val="superscript"/>
                </w:rPr>
                <w:t>[6]</w:t>
              </w:r>
            </w:hyperlink>
            <w:bookmarkEnd w:id="40"/>
            <w:bookmarkEnd w:id="39"/>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Mandamus</w:t>
              </w:r>
            </w:hyperlink>
            <w:r>
              <w:rPr>
                <w:rFonts w:ascii="Times New Roman" w:hAnsi="Times New Roman"/>
                <w:color w:val="1f1f1f"/>
                <w:sz w:val="20"/>
              </w:rPr>
              <w:drawing>
                <wp:inline>
                  <wp:extent cx="133350" cy="76200"/>
                  <wp:docPr id="11" name="Picture 1" descr="Display Key Number Topics"/>
                  <a:graphic>
                    <a:graphicData uri="http://schemas.openxmlformats.org/drawingml/2006/picture">
                      <p:pic>
                        <p:nvPicPr>
                          <p:cNvPr id="12" name="Picture 1" descr="Display Key Number Topics"/>
                          <p:cNvPicPr/>
                        </p:nvPicPr>
                        <p:blipFill>
                          <a:blip r:embed="r11"/>
                          <a:srcRect/>
                          <a:stretch>
                            <a:fillRect/>
                          </a:stretch>
                        </p:blipFill>
                        <p:spPr>
                          <a:xfrm>
                            <a:off x="0" y="0"/>
                            <a:ext cx="133350" cy="76200"/>
                          </a:xfrm>
                          <a:prstGeom prst="rect"/>
                        </p:spPr>
                      </p:pic>
                    </a:graphicData>
                  </a:graphic>
                </wp:inline>
              </w:drawing>
            </w:r>
          </w:p>
        </w:tc>
      </w:tr>
      <w:bookmarkEnd w:id="38"/>
      <w:bookmarkEnd w:id="37"/>
      <w:bookmarkEnd w:id="36"/>
      <w:bookmarkEnd w:id="3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There is no definitive list of when a final appeal will be adequate, for mandamus purposes, as it depends on a careful balance of the case-specific benefits and detriments of delaying or interrupting a particular proceeding.</w:t>
            </w:r>
          </w:p>
        </w:tc>
      </w:tr>
    </w:tbl>
    <w:bookmarkStart w:id="41" w:name="co_headnoteId_2082955422006202503141123"/>
    <w:p>
      <w:pPr>
        <w:spacing w:before="0" w:after="0" w:line="275" w:lineRule="atLeast"/>
        <w:jc w:val="both"/>
      </w:pPr>
    </w:p>
    <w:bookmarkEnd w:id="41"/>
    <w:p>
      <w:pPr>
        <w:pBdr>
          <w:top w:val="none" w:space="4"/>
        </w:pBdr>
        <w:spacing w:before="200" w:after="0" w:line="275" w:lineRule="atLeast"/>
        <w:jc w:val="both"/>
      </w:pPr>
      <w:bookmarkStart w:id="42" w:name="co_headnotesEnd_1"/>
      <w:bookmarkEnd w:id="42"/>
    </w:p>
    <w:p>
      <w:pPr>
        <w:spacing w:before="200" w:after="0" w:line="275" w:lineRule="atLeast"/>
        <w:jc w:val="both"/>
      </w:pPr>
      <w:r>
        <w:rPr>
          <w:rFonts w:ascii="Times New Roman" w:hAnsi="Times New Roman"/>
          <w:b/>
          <w:color w:val="1f1f1f"/>
          <w:sz w:val="20"/>
        </w:rPr>
        <w:t>ORIGINAL PROCEEDING, Business Court Division 8A, Tarrant County, Texas, Case No. 24-BC08B-0001</w:t>
      </w:r>
    </w:p>
    <w:bookmarkStart w:id="43"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43"/>
    <w:p>
      <w:pPr>
        <w:spacing w:before="200" w:after="0" w:line="275" w:lineRule="atLeast"/>
        <w:jc w:val="both"/>
      </w:pPr>
      <w:hyperlink r:id="r25">
        <w:r>
          <w:rPr>
            <w:rFonts w:ascii="Times New Roman" w:hAnsi="Times New Roman"/>
            <w:color w:val="006fc4"/>
            <w:sz w:val="20"/>
          </w:rPr>
          <w:t>David S. Coale</w:t>
        </w:r>
      </w:hyperlink>
      <w:r>
        <w:rPr>
          <w:rFonts w:ascii="Times New Roman" w:hAnsi="Times New Roman"/>
          <w:color w:val="1f1f1f"/>
          <w:sz w:val="20"/>
        </w:rPr>
        <w:t xml:space="preserve">, </w:t>
      </w:r>
      <w:hyperlink r:id="r26">
        <w:r>
          <w:rPr>
            <w:rFonts w:ascii="Times New Roman" w:hAnsi="Times New Roman"/>
            <w:color w:val="006fc4"/>
            <w:sz w:val="20"/>
          </w:rPr>
          <w:t>Christopher W. Patton</w:t>
        </w:r>
      </w:hyperlink>
      <w:r>
        <w:rPr>
          <w:rFonts w:ascii="Times New Roman" w:hAnsi="Times New Roman"/>
          <w:color w:val="1f1f1f"/>
          <w:sz w:val="20"/>
        </w:rPr>
        <w:t xml:space="preserve">, </w:t>
      </w:r>
      <w:hyperlink r:id="r27">
        <w:r>
          <w:rPr>
            <w:rFonts w:ascii="Times New Roman" w:hAnsi="Times New Roman"/>
            <w:color w:val="006fc4"/>
            <w:sz w:val="20"/>
          </w:rPr>
          <w:t>Jared D. Eisenberg</w:t>
        </w:r>
      </w:hyperlink>
      <w:r>
        <w:rPr>
          <w:rFonts w:ascii="Times New Roman" w:hAnsi="Times New Roman"/>
          <w:color w:val="1f1f1f"/>
          <w:sz w:val="20"/>
        </w:rPr>
        <w:t xml:space="preserve">, Dallas, </w:t>
      </w:r>
      <w:hyperlink r:id="r28">
        <w:r>
          <w:rPr>
            <w:rFonts w:ascii="Times New Roman" w:hAnsi="Times New Roman"/>
            <w:color w:val="006fc4"/>
            <w:sz w:val="20"/>
          </w:rPr>
          <w:t>Michael Lynn</w:t>
        </w:r>
      </w:hyperlink>
      <w:r>
        <w:rPr>
          <w:rFonts w:ascii="Times New Roman" w:hAnsi="Times New Roman"/>
          <w:color w:val="1f1f1f"/>
          <w:sz w:val="20"/>
        </w:rPr>
        <w:t>, for Relator.</w:t>
      </w:r>
    </w:p>
    <w:p>
      <w:pPr>
        <w:spacing w:before="200" w:after="0" w:line="275" w:lineRule="atLeast"/>
        <w:jc w:val="both"/>
      </w:pPr>
      <w:hyperlink r:id="r29">
        <w:r>
          <w:rPr>
            <w:rFonts w:ascii="Times New Roman" w:hAnsi="Times New Roman"/>
            <w:color w:val="006fc4"/>
            <w:sz w:val="20"/>
          </w:rPr>
          <w:t>David E. Keltner</w:t>
        </w:r>
      </w:hyperlink>
      <w:r>
        <w:rPr>
          <w:rFonts w:ascii="Times New Roman" w:hAnsi="Times New Roman"/>
          <w:color w:val="1f1f1f"/>
          <w:sz w:val="20"/>
        </w:rPr>
        <w:t xml:space="preserve">, Joe Greenhill, Fort Worth, Kathleen Pickett, </w:t>
      </w:r>
      <w:hyperlink r:id="r30">
        <w:r>
          <w:rPr>
            <w:rFonts w:ascii="Times New Roman" w:hAnsi="Times New Roman"/>
            <w:color w:val="006fc4"/>
            <w:sz w:val="20"/>
          </w:rPr>
          <w:t>N. Kimberly Hoesl</w:t>
        </w:r>
      </w:hyperlink>
      <w:r>
        <w:rPr>
          <w:rFonts w:ascii="Times New Roman" w:hAnsi="Times New Roman"/>
          <w:color w:val="1f1f1f"/>
          <w:sz w:val="20"/>
        </w:rPr>
        <w:t xml:space="preserve">, </w:t>
      </w:r>
      <w:hyperlink r:id="r31">
        <w:r>
          <w:rPr>
            <w:rFonts w:ascii="Times New Roman" w:hAnsi="Times New Roman"/>
            <w:color w:val="006fc4"/>
            <w:sz w:val="20"/>
          </w:rPr>
          <w:t>Anita E. Kadala</w:t>
        </w:r>
      </w:hyperlink>
      <w:r>
        <w:rPr>
          <w:rFonts w:ascii="Times New Roman" w:hAnsi="Times New Roman"/>
          <w:color w:val="1f1f1f"/>
          <w:sz w:val="20"/>
        </w:rPr>
        <w:t>, for Real party in interest Tema Oil and Gas Co., Inc.</w:t>
      </w:r>
    </w:p>
    <w:p>
      <w:pPr>
        <w:spacing w:before="0" w:after="0" w:line="275" w:lineRule="atLeast"/>
        <w:jc w:val="both"/>
      </w:pPr>
      <w:r>
        <w:rPr>
          <w:rFonts w:ascii="Times New Roman" w:hAnsi="Times New Roman"/>
          <w:color w:val="1f1f1f"/>
          <w:sz w:val="20"/>
        </w:rPr>
        <w:t xml:space="preserve">Before Chief Justice </w:t>
      </w:r>
      <w:hyperlink r:id="r32">
        <w:r>
          <w:rPr>
            <w:rFonts w:ascii="Times New Roman" w:hAnsi="Times New Roman"/>
            <w:color w:val="006fc4"/>
            <w:sz w:val="20"/>
          </w:rPr>
          <w:t>Brister</w:t>
        </w:r>
      </w:hyperlink>
      <w:r>
        <w:rPr>
          <w:rFonts w:ascii="Times New Roman" w:hAnsi="Times New Roman"/>
          <w:color w:val="1f1f1f"/>
          <w:sz w:val="20"/>
        </w:rPr>
        <w:t xml:space="preserve"> and Justices </w:t>
      </w:r>
      <w:hyperlink r:id="r33">
        <w:r>
          <w:rPr>
            <w:rFonts w:ascii="Times New Roman" w:hAnsi="Times New Roman"/>
            <w:color w:val="006fc4"/>
            <w:sz w:val="20"/>
          </w:rPr>
          <w:t>Field</w:t>
        </w:r>
      </w:hyperlink>
      <w:r>
        <w:rPr>
          <w:rFonts w:ascii="Times New Roman" w:hAnsi="Times New Roman"/>
          <w:color w:val="1f1f1f"/>
          <w:sz w:val="20"/>
        </w:rPr>
        <w:t xml:space="preserve"> and </w:t>
      </w:r>
      <w:hyperlink r:id="r34">
        <w:r>
          <w:rPr>
            <w:rFonts w:ascii="Times New Roman" w:hAnsi="Times New Roman"/>
            <w:color w:val="006fc4"/>
            <w:sz w:val="20"/>
          </w:rPr>
          <w:t>Farris</w:t>
        </w:r>
      </w:hyperlink>
      <w:r>
        <w:rPr>
          <w:rFonts w:ascii="Times New Roman" w:hAnsi="Times New Roman"/>
          <w:color w:val="1f1f1f"/>
          <w:sz w:val="20"/>
        </w:rPr>
        <w:t>.</w:t>
      </w:r>
    </w:p>
    <w:bookmarkStart w:id="44" w:name="co_opinion_1"/>
    <w:bookmarkStart w:id="45" w:name="co_anchor_Ia9ed562200f011f0b33de580a5f6"/>
    <w:bookmarkStart w:id="46" w:name="co_anchor_Iaa0f360100f011f0b33de580a5f6"/>
    <w:bookmarkStart w:id="47" w:name="co_anchor_Iaa0f360100f011f0b33de580a2"/>
    <w:p>
      <w:pPr>
        <w:spacing w:before="800" w:after="0" w:line="275" w:lineRule="atLeast"/>
        <w:jc w:val="center"/>
      </w:pPr>
      <w:r>
        <w:rPr>
          <w:rFonts w:ascii="Times New Roman" w:hAnsi="Times New Roman"/>
          <w:b/>
          <w:color w:val="1f1f1f"/>
          <w:sz w:val="20"/>
        </w:rPr>
        <w:t>OPINION</w:t>
      </w:r>
    </w:p>
    <w:bookmarkEnd w:id="47"/>
    <w:bookmarkEnd w:id="46"/>
    <w:bookmarkEnd w:id="45"/>
    <w:bookmarkEnd w:id="44"/>
    <w:p>
      <w:pPr>
        <w:spacing w:before="400" w:after="0" w:line="275" w:lineRule="atLeast"/>
        <w:jc w:val="both"/>
      </w:pPr>
      <w:hyperlink r:id="r35">
        <w:r>
          <w:rPr>
            <w:rFonts w:ascii="Times New Roman" w:hAnsi="Times New Roman"/>
            <w:color w:val="006fc4"/>
            <w:sz w:val="20"/>
          </w:rPr>
          <w:t>Scott A. Brister</w:t>
        </w:r>
      </w:hyperlink>
      <w:r>
        <w:rPr>
          <w:rFonts w:ascii="Times New Roman" w:hAnsi="Times New Roman"/>
          <w:color w:val="1f1f1f"/>
          <w:sz w:val="20"/>
        </w:rPr>
        <w:t>, Chief Justice</w:t>
      </w:r>
    </w:p>
    <w:p>
      <w:pPr>
        <w:spacing w:before="200" w:after="0" w:line="275" w:lineRule="atLeast"/>
        <w:jc w:val="both"/>
      </w:pPr>
      <w:bookmarkStart w:id="48" w:name="co_pp_sp_999_1_1"/>
      <w:r>
        <w:rPr>
          <w:rFonts w:ascii="Times New Roman" w:hAnsi="Times New Roman"/>
          <w:b/>
          <w:color w:val="000000"/>
          <w:sz w:val="20"/>
        </w:rPr>
        <w:t>*1</w:t>
      </w:r>
      <w:bookmarkEnd w:id="48"/>
      <w:r>
        <w:rPr>
          <w:rFonts w:ascii="Times New Roman" w:hAnsi="Times New Roman"/>
          <w:color w:val="1f1f1f"/>
          <w:sz w:val="20"/>
        </w:rPr>
        <w:t xml:space="preserve"> This is one of several original proceedings challenging an order by the new business court remanding to the district court a civil action commenced before September 1, 2024. The bill creating the business court states that “changes in law made by this Act apply to civil actions </w:t>
      </w:r>
      <w:r>
        <w:rPr>
          <w:rFonts w:ascii="Times New Roman" w:hAnsi="Times New Roman"/>
          <w:i/>
          <w:color w:val="1f1f1f"/>
          <w:sz w:val="20"/>
        </w:rPr>
        <w:t>commenced</w:t>
      </w:r>
      <w:r>
        <w:rPr>
          <w:rFonts w:ascii="Times New Roman" w:hAnsi="Times New Roman"/>
          <w:color w:val="1f1f1f"/>
          <w:sz w:val="20"/>
        </w:rPr>
        <w:t xml:space="preserve"> on or after September 1, 2024.”</w:t>
      </w:r>
      <w:bookmarkStart w:id="49" w:name="co_fnRef_B00012082955422_ID0E3BAE_1"/>
      <w:hyperlink w:anchor="co_footnote_B00012082955422_1">
        <w:r>
          <w:rPr>
            <w:rFonts w:ascii="Times New Roman" w:hAnsi="Times New Roman"/>
            <w:color w:val="006fc4"/>
            <w:sz w:val="16"/>
            <w:vertAlign w:val="superscript"/>
          </w:rPr>
          <w:t>1</w:t>
        </w:r>
      </w:hyperlink>
      <w:bookmarkEnd w:id="49"/>
      <w:r>
        <w:rPr>
          <w:rFonts w:ascii="Times New Roman" w:hAnsi="Times New Roman"/>
          <w:color w:val="1f1f1f"/>
          <w:sz w:val="20"/>
        </w:rPr>
        <w:t xml:space="preserve"> Because removal to the business court does not “commence” a new civil action but simply transfers an existing one, we hold the new removal statute does not apply, and the business court did not err by remanding it.</w:t>
      </w:r>
    </w:p>
    <w:p>
      <w:pPr>
        <w:spacing w:before="0" w:after="0" w:line="275" w:lineRule="atLeast"/>
        <w:jc w:val="both"/>
      </w:pPr>
      <w:r>
        <w:rPr>
          <w:rFonts w:ascii="Times New Roman" w:hAnsi="Times New Roman"/>
          <w:color w:val="1f1f1f"/>
          <w:sz w:val="20"/>
        </w:rPr>
        <w:t> </w:t>
      </w:r>
    </w:p>
    <w:bookmarkStart w:id="50" w:name="co_anchor_Iaa10206100f011f0b33de580a5f6"/>
    <w:p>
      <w:pPr>
        <w:spacing w:before="400" w:after="0" w:line="275" w:lineRule="atLeast"/>
        <w:jc w:val="center"/>
      </w:pPr>
      <w:r>
        <w:rPr>
          <w:rFonts w:ascii="Times New Roman" w:hAnsi="Times New Roman"/>
          <w:b/>
          <w:color w:val="1f1f1f"/>
          <w:sz w:val="20"/>
        </w:rPr>
        <w:t>BACKGROUND</w:t>
      </w:r>
    </w:p>
    <w:bookmarkEnd w:id="50"/>
    <w:p>
      <w:pPr>
        <w:spacing w:before="200" w:after="0" w:line="275" w:lineRule="atLeast"/>
        <w:jc w:val="both"/>
      </w:pPr>
      <w:r>
        <w:rPr>
          <w:rFonts w:ascii="Times New Roman" w:hAnsi="Times New Roman"/>
          <w:color w:val="1f1f1f"/>
          <w:sz w:val="20"/>
        </w:rPr>
        <w:t>On March 17, 2017, Tema Oil and Gas Co. sued Relator ETC Field Services, LLC, in Tarrant County district court for breach of a gas-purchase contract. After seven years of litigation, in June of 2024 the parties jointly requested a preferential trial setting in the spring of 2025. But less than three months after that request, ETC unilaterally removed the suit to the newly created Texas business court. Tema moved to remand the case back to the Tarrant County district court, and the business court granted that motion by written opinion signed November 6, 2024.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Two days later, ETC appealed the remand order to this Court. Tema moved to dismiss the appeal on the ground that it was not a final order and no statute authorized an interlocutory appeal.</w:t>
      </w:r>
      <w:bookmarkStart w:id="51" w:name="co_fnRef_B00022082955422_ID0E1DAE_1"/>
      <w:hyperlink w:anchor="co_footnote_B00022082955422_1">
        <w:r>
          <w:rPr>
            <w:rFonts w:ascii="Times New Roman" w:hAnsi="Times New Roman"/>
            <w:color w:val="006fc4"/>
            <w:sz w:val="16"/>
            <w:vertAlign w:val="superscript"/>
          </w:rPr>
          <w:t>2</w:t>
        </w:r>
      </w:hyperlink>
      <w:bookmarkEnd w:id="51"/>
      <w:r>
        <w:rPr>
          <w:rFonts w:ascii="Times New Roman" w:hAnsi="Times New Roman"/>
          <w:color w:val="1f1f1f"/>
          <w:sz w:val="20"/>
        </w:rPr>
        <w:t xml:space="preserve"> ETC defended the interlocutory appeal, but alternatively filed this original proceeding for mandamus relief if interlocutory appeal was unavailable. We hold today that no interlocutory appeal is available in these circumstances. </w:t>
      </w:r>
      <w:r>
        <w:rPr>
          <w:rFonts w:ascii="Times New Roman" w:hAnsi="Times New Roman"/>
          <w:i/>
          <w:color w:val="1f1f1f"/>
          <w:sz w:val="20"/>
        </w:rPr>
        <w:t>See</w:t>
      </w:r>
      <w:r>
        <w:rPr>
          <w:rFonts w:ascii="Times New Roman" w:hAnsi="Times New Roman"/>
          <w:color w:val="1f1f1f"/>
          <w:sz w:val="20"/>
        </w:rPr>
        <w:t xml:space="preserve"> </w:t>
      </w:r>
      <w:hyperlink r:id="r36">
        <w:r>
          <w:rPr>
            <w:rFonts w:ascii="Times New Roman" w:hAnsi="Times New Roman"/>
            <w:i/>
            <w:color w:val="006fc4"/>
            <w:sz w:val="20"/>
          </w:rPr>
          <w:t>ETC Field Servs., LLC v. Tema Oil and Gas Co.</w:t>
        </w:r>
        <w:r>
          <w:rPr>
            <w:rFonts w:ascii="Times New Roman" w:hAnsi="Times New Roman"/>
            <w:color w:val="006fc4"/>
            <w:sz w:val="20"/>
          </w:rPr>
          <w:t>, No. 15-24-00124-CV, ––– S.W.3d ––––, 2025 WL 582317 (Tex. App.—15th Dist., Feb. 21, 2025)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“But that of course does not preclude mandamus review.”</w:t>
      </w:r>
      <w:bookmarkStart w:id="52" w:name="co_fnRef_B00032082955422_ID0E2FAE_1"/>
      <w:hyperlink w:anchor="co_footnote_B00032082955422_1">
        <w:r>
          <w:rPr>
            <w:rFonts w:ascii="Times New Roman" w:hAnsi="Times New Roman"/>
            <w:color w:val="006fc4"/>
            <w:sz w:val="16"/>
            <w:vertAlign w:val="superscript"/>
          </w:rPr>
          <w:t>3</w:t>
        </w:r>
      </w:hyperlink>
      <w:bookmarkEnd w:id="52"/>
      <w:r>
        <w:rPr>
          <w:rFonts w:ascii="Times New Roman" w:hAnsi="Times New Roman"/>
          <w:color w:val="1f1f1f"/>
          <w:sz w:val="20"/>
        </w:rPr>
        <w:t xml:space="preserve"> “[T]he Legislature's decision to forego interlocutory review of </w:t>
      </w:r>
      <w:r>
        <w:rPr>
          <w:rFonts w:ascii="Times New Roman" w:hAnsi="Times New Roman"/>
          <w:i/>
          <w:color w:val="1f1f1f"/>
          <w:sz w:val="20"/>
        </w:rPr>
        <w:t>all</w:t>
      </w:r>
      <w:r>
        <w:rPr>
          <w:rFonts w:ascii="Times New Roman" w:hAnsi="Times New Roman"/>
          <w:color w:val="1f1f1f"/>
          <w:sz w:val="20"/>
        </w:rPr>
        <w:t xml:space="preserve"> pending cases in no way suggests it intended interlocutory review of </w:t>
      </w:r>
      <w:r>
        <w:rPr>
          <w:rFonts w:ascii="Times New Roman" w:hAnsi="Times New Roman"/>
          <w:i/>
          <w:color w:val="1f1f1f"/>
          <w:sz w:val="20"/>
        </w:rPr>
        <w:t>none</w:t>
      </w:r>
      <w:r>
        <w:rPr>
          <w:rFonts w:ascii="Times New Roman" w:hAnsi="Times New Roman"/>
          <w:color w:val="1f1f1f"/>
          <w:sz w:val="20"/>
        </w:rPr>
        <w:t xml:space="preserve"> of them.”</w:t>
      </w:r>
      <w:bookmarkStart w:id="53" w:name="co_fnRef_B00042082955422_ID0EPGAE_1"/>
      <w:hyperlink w:anchor="co_footnote_B00042082955422_1">
        <w:r>
          <w:rPr>
            <w:rFonts w:ascii="Times New Roman" w:hAnsi="Times New Roman"/>
            <w:color w:val="006fc4"/>
            <w:sz w:val="16"/>
            <w:vertAlign w:val="superscript"/>
          </w:rPr>
          <w:t>4</w:t>
        </w:r>
      </w:hyperlink>
      <w:bookmarkEnd w:id="53"/>
      <w:r>
        <w:rPr>
          <w:rFonts w:ascii="Times New Roman" w:hAnsi="Times New Roman"/>
          <w:color w:val="1f1f1f"/>
          <w:sz w:val="20"/>
        </w:rPr>
        <w:t xml:space="preserve"> Accordingly, we turn to that issue in this opinion.</w:t>
      </w:r>
    </w:p>
    <w:p>
      <w:pPr>
        <w:spacing w:before="0" w:after="0" w:line="275" w:lineRule="atLeast"/>
        <w:jc w:val="both"/>
      </w:pPr>
      <w:r>
        <w:rPr>
          <w:rFonts w:ascii="Times New Roman" w:hAnsi="Times New Roman"/>
          <w:color w:val="1f1f1f"/>
          <w:sz w:val="20"/>
        </w:rPr>
        <w:t> </w:t>
      </w:r>
    </w:p>
    <w:bookmarkStart w:id="54" w:name="co_anchor_Iaa12916200f011f0b33de580a5f6"/>
    <w:p>
      <w:pPr>
        <w:spacing w:before="400" w:after="0" w:line="275" w:lineRule="atLeast"/>
        <w:jc w:val="center"/>
      </w:pPr>
      <w:r>
        <w:rPr>
          <w:rFonts w:ascii="Times New Roman" w:hAnsi="Times New Roman"/>
          <w:b/>
          <w:color w:val="1f1f1f"/>
          <w:sz w:val="20"/>
        </w:rPr>
        <w:t>ANALYSIS</w:t>
      </w:r>
    </w:p>
    <w:bookmarkEnd w:id="54"/>
    <w:p>
      <w:pPr>
        <w:spacing w:before="200" w:after="0" w:line="275" w:lineRule="atLeast"/>
        <w:jc w:val="both"/>
      </w:pPr>
      <w:hyperlink w:anchor="co_hn_anchor_F12082955422_1">
        <w:r>
          <w:rPr>
            <w:rFonts w:ascii="Times New Roman" w:hAnsi="Times New Roman"/>
            <w:b/>
            <w:color w:val="252525"/>
            <w:sz w:val="20"/>
            <w:bdr w:val="none" w:space="2"/>
            <w:vertAlign w:val="superscript"/>
          </w:rPr>
          <w:t>[1]</w:t>
        </w:r>
      </w:hyperlink>
      <w:r>
        <w:rPr>
          <w:rFonts w:ascii="Times New Roman" w:hAnsi="Times New Roman"/>
          <w:color w:val="1f1f1f"/>
          <w:sz w:val="20"/>
        </w:rPr>
        <w:t>“Mandamus relief is available if the relator establishes a clear abuse of discretion for which there is no adequate appellate remedy.”</w:t>
      </w:r>
      <w:bookmarkStart w:id="55" w:name="co_fnRef_B00052082955422_ID0EIKAE_1"/>
      <w:hyperlink w:anchor="co_footnote_B00052082955422_1">
        <w:r>
          <w:rPr>
            <w:rFonts w:ascii="Times New Roman" w:hAnsi="Times New Roman"/>
            <w:color w:val="006fc4"/>
            <w:sz w:val="16"/>
            <w:vertAlign w:val="superscript"/>
          </w:rPr>
          <w:t>5</w:t>
        </w:r>
      </w:hyperlink>
      <w:bookmarkEnd w:id="55"/>
      <w:r>
        <w:rPr>
          <w:rFonts w:ascii="Times New Roman" w:hAnsi="Times New Roman"/>
          <w:color w:val="1f1f1f"/>
          <w:sz w:val="20"/>
        </w:rPr>
        <w:t xml:space="preserve"> We address each requirement in turn.</w:t>
      </w:r>
    </w:p>
    <w:p>
      <w:pPr>
        <w:spacing w:before="0" w:after="0" w:line="275" w:lineRule="atLeast"/>
        <w:jc w:val="both"/>
      </w:pPr>
      <w:r>
        <w:rPr>
          <w:rFonts w:ascii="Times New Roman" w:hAnsi="Times New Roman"/>
          <w:color w:val="1f1f1f"/>
          <w:sz w:val="20"/>
        </w:rPr>
        <w:t> </w:t>
      </w:r>
    </w:p>
    <w:bookmarkStart w:id="56" w:name="co_anchor_Iaa1354b100f011f0b33de580a5f6"/>
    <w:bookmarkStart w:id="57" w:name="co_anchor_Iaa1354b100f011f0b33de580a2"/>
    <w:p>
      <w:pPr>
        <w:spacing w:before="400" w:after="0" w:line="275" w:lineRule="atLeast"/>
      </w:pPr>
      <w:r>
        <w:rPr>
          <w:rFonts w:ascii="Times New Roman" w:hAnsi="Times New Roman"/>
          <w:b/>
          <w:color w:val="1f1f1f"/>
          <w:sz w:val="20"/>
        </w:rPr>
        <w:t>I. No Abuse of Discretion</w:t>
      </w:r>
    </w:p>
    <w:bookmarkEnd w:id="57"/>
    <w:bookmarkEnd w:id="56"/>
    <w:p>
      <w:pPr>
        <w:spacing w:before="0" w:after="0" w:line="275" w:lineRule="atLeast"/>
        <w:jc w:val="both"/>
      </w:pPr>
      <w:r>
        <w:rPr>
          <w:rFonts w:ascii="Times New Roman" w:hAnsi="Times New Roman"/>
          <w:color w:val="1f1f1f"/>
          <w:sz w:val="20"/>
        </w:rPr>
        <w:t>House Bill 19 created a new statewide business court as of September 1, 2024.</w:t>
      </w:r>
      <w:bookmarkStart w:id="58" w:name="co_fnRef_B00062082955422_ID0E6LAE_1"/>
      <w:hyperlink w:anchor="co_footnote_B00062082955422_1">
        <w:r>
          <w:rPr>
            <w:rFonts w:ascii="Times New Roman" w:hAnsi="Times New Roman"/>
            <w:color w:val="006fc4"/>
            <w:sz w:val="16"/>
            <w:vertAlign w:val="superscript"/>
          </w:rPr>
          <w:t>6</w:t>
        </w:r>
      </w:hyperlink>
      <w:bookmarkEnd w:id="58"/>
      <w:r>
        <w:rPr>
          <w:rFonts w:ascii="Times New Roman" w:hAnsi="Times New Roman"/>
          <w:color w:val="1f1f1f"/>
          <w:sz w:val="20"/>
        </w:rPr>
        <w:t xml:space="preserve"> The Act provided for removal of actions pending in a local trial court to the business court, to be accomplished by filing a notice of removal in both courts within 30 days after discovery of facts establishing the business court's jurisdiction.</w:t>
      </w:r>
      <w:bookmarkStart w:id="59" w:name="co_fnRef_B00072082955422_ID0EJMAE_1"/>
      <w:hyperlink w:anchor="co_footnote_B00072082955422_1">
        <w:r>
          <w:rPr>
            <w:rFonts w:ascii="Times New Roman" w:hAnsi="Times New Roman"/>
            <w:color w:val="006fc4"/>
            <w:sz w:val="16"/>
            <w:vertAlign w:val="superscript"/>
          </w:rPr>
          <w:t>7</w:t>
        </w:r>
      </w:hyperlink>
      <w:bookmarkEnd w:id="59"/>
      <w:r>
        <w:rPr>
          <w:rFonts w:ascii="Times New Roman" w:hAnsi="Times New Roman"/>
          <w:color w:val="1f1f1f"/>
          <w:sz w:val="20"/>
        </w:rPr>
        <w:t xml:space="preserve"> The action would then “immediately” be transferred to the business court and assigned to the appropriate division of that court.</w:t>
      </w:r>
      <w:bookmarkStart w:id="60" w:name="co_fnRef_B00082082955422_ID0ETMAE_1"/>
      <w:hyperlink w:anchor="co_footnote_B00082082955422_1">
        <w:r>
          <w:rPr>
            <w:rFonts w:ascii="Times New Roman" w:hAnsi="Times New Roman"/>
            <w:color w:val="006fc4"/>
            <w:sz w:val="16"/>
            <w:vertAlign w:val="superscript"/>
          </w:rPr>
          <w:t>8</w:t>
        </w:r>
      </w:hyperlink>
      <w:bookmarkEnd w:id="60"/>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1" w:name="co_pp_sp_999_2_1"/>
      <w:r>
        <w:rPr>
          <w:rFonts w:ascii="Times New Roman" w:hAnsi="Times New Roman"/>
          <w:b/>
          <w:color w:val="000000"/>
          <w:sz w:val="20"/>
        </w:rPr>
        <w:t>*2</w:t>
      </w:r>
      <w:bookmarkEnd w:id="61"/>
      <w:r>
        <w:rPr>
          <w:rFonts w:ascii="Times New Roman" w:hAnsi="Times New Roman"/>
          <w:color w:val="1f1f1f"/>
          <w:sz w:val="20"/>
        </w:rPr>
        <w:t xml:space="preserve"> </w:t>
      </w:r>
      <w:hyperlink w:anchor="co_hn_anchor_F22082955422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w:t>
      </w:r>
      <w:hyperlink w:anchor="co_hn_anchor_F32082955422_1">
        <w:r>
          <w:rPr>
            <w:rFonts w:ascii="Times New Roman" w:hAnsi="Times New Roman"/>
            <w:b/>
            <w:color w:val="252525"/>
            <w:sz w:val="20"/>
            <w:bdr w:val="none" w:space="2"/>
            <w:vertAlign w:val="superscript"/>
          </w:rPr>
          <w:t>[3]</w:t>
        </w:r>
      </w:hyperlink>
      <w:r>
        <w:rPr>
          <w:rFonts w:ascii="Times New Roman" w:hAnsi="Times New Roman"/>
          <w:color w:val="1f1f1f"/>
          <w:sz w:val="20"/>
        </w:rPr>
        <w:t>While the effective date of the Act was September 1, 2023,</w:t>
      </w:r>
      <w:bookmarkStart w:id="62" w:name="co_fnRef_B00092082955422_ID0EYPAE_1"/>
      <w:hyperlink w:anchor="co_footnote_B00092082955422_1">
        <w:r>
          <w:rPr>
            <w:rFonts w:ascii="Times New Roman" w:hAnsi="Times New Roman"/>
            <w:color w:val="006fc4"/>
            <w:sz w:val="16"/>
            <w:vertAlign w:val="superscript"/>
          </w:rPr>
          <w:t>9</w:t>
        </w:r>
      </w:hyperlink>
      <w:bookmarkEnd w:id="62"/>
      <w:r>
        <w:rPr>
          <w:rFonts w:ascii="Times New Roman" w:hAnsi="Times New Roman"/>
          <w:color w:val="1f1f1f"/>
          <w:sz w:val="20"/>
        </w:rPr>
        <w:t xml:space="preserve"> the business court itself was not actually created until September 1, 2024.</w:t>
      </w:r>
      <w:bookmarkStart w:id="63" w:name="co_fnRef_B00102082955422_ID0E6PAE_1"/>
      <w:hyperlink w:anchor="co_footnote_B00102082955422_1">
        <w:r>
          <w:rPr>
            <w:rFonts w:ascii="Times New Roman" w:hAnsi="Times New Roman"/>
            <w:color w:val="006fc4"/>
            <w:sz w:val="16"/>
            <w:vertAlign w:val="superscript"/>
          </w:rPr>
          <w:t>10</w:t>
        </w:r>
      </w:hyperlink>
      <w:bookmarkEnd w:id="63"/>
      <w:r>
        <w:rPr>
          <w:rFonts w:ascii="Times New Roman" w:hAnsi="Times New Roman"/>
          <w:color w:val="1f1f1f"/>
          <w:sz w:val="20"/>
        </w:rPr>
        <w:t xml:space="preserve"> So the Act provided that “[t]he changes in law made by this Act apply to civil actions commenced on or after September 1, 2024.”</w:t>
      </w:r>
      <w:bookmarkStart w:id="64" w:name="co_fnRef_B00112082955422_ID0EQQAE_1"/>
      <w:hyperlink w:anchor="co_footnote_B00112082955422_1">
        <w:r>
          <w:rPr>
            <w:rFonts w:ascii="Times New Roman" w:hAnsi="Times New Roman"/>
            <w:color w:val="006fc4"/>
            <w:sz w:val="16"/>
            <w:vertAlign w:val="superscript"/>
          </w:rPr>
          <w:t>11</w:t>
        </w:r>
      </w:hyperlink>
      <w:bookmarkEnd w:id="64"/>
      <w:r>
        <w:rPr>
          <w:rFonts w:ascii="Times New Roman" w:hAnsi="Times New Roman"/>
          <w:color w:val="1f1f1f"/>
          <w:sz w:val="20"/>
        </w:rPr>
        <w:t xml:space="preserve"> The question here is whether a civil action filed before that date in a local trial court could properly be removed to the business court after that date. We hold that it cannot, since removal does not “commence” a new action in the business court after the Act's effective date, but simply transfers a pre-existing one.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i/>
          <w:color w:val="1f1f1f"/>
          <w:sz w:val="20"/>
        </w:rPr>
        <w:t>Commence</w:t>
      </w:r>
      <w:r>
        <w:rPr>
          <w:rFonts w:ascii="Times New Roman" w:hAnsi="Times New Roman"/>
          <w:color w:val="1f1f1f"/>
          <w:sz w:val="20"/>
        </w:rPr>
        <w:t xml:space="preserve"> means to “begin” or “start,” and is used primarily in “more formal associations with law and procedure, combat, divine service, and ceremony.”</w:t>
      </w:r>
      <w:bookmarkStart w:id="65" w:name="co_fnRef_B00122082955422_ID0E2SAE_1"/>
      <w:hyperlink w:anchor="co_footnote_B00122082955422_1">
        <w:r>
          <w:rPr>
            <w:rFonts w:ascii="Times New Roman" w:hAnsi="Times New Roman"/>
            <w:color w:val="006fc4"/>
            <w:sz w:val="16"/>
            <w:vertAlign w:val="superscript"/>
          </w:rPr>
          <w:t>12</w:t>
        </w:r>
      </w:hyperlink>
      <w:bookmarkEnd w:id="65"/>
      <w:r>
        <w:rPr>
          <w:rFonts w:ascii="Times New Roman" w:hAnsi="Times New Roman"/>
          <w:color w:val="1f1f1f"/>
          <w:sz w:val="20"/>
        </w:rPr>
        <w:t xml:space="preserve"> The Texas rules of procedure use the term in the precise context of starting a new lawsuit: “A civil suit in the district or county court shall be </w:t>
      </w:r>
      <w:r>
        <w:rPr>
          <w:rFonts w:ascii="Times New Roman" w:hAnsi="Times New Roman"/>
          <w:i/>
          <w:color w:val="1f1f1f"/>
          <w:sz w:val="20"/>
        </w:rPr>
        <w:t>commenced</w:t>
      </w:r>
      <w:r>
        <w:rPr>
          <w:rFonts w:ascii="Times New Roman" w:hAnsi="Times New Roman"/>
          <w:color w:val="1f1f1f"/>
          <w:sz w:val="20"/>
        </w:rPr>
        <w:t xml:space="preserve"> by a petition filed in the office of the clerk.”</w:t>
      </w:r>
      <w:bookmarkStart w:id="66" w:name="co_fnRef_B00132082955422_ID0EOTAE_1"/>
      <w:hyperlink w:anchor="co_footnote_B00132082955422_1">
        <w:r>
          <w:rPr>
            <w:rFonts w:ascii="Times New Roman" w:hAnsi="Times New Roman"/>
            <w:color w:val="006fc4"/>
            <w:sz w:val="16"/>
            <w:vertAlign w:val="superscript"/>
          </w:rPr>
          <w:t>13</w:t>
        </w:r>
      </w:hyperlink>
      <w:bookmarkEnd w:id="66"/>
      <w:r>
        <w:rPr>
          <w:rFonts w:ascii="Times New Roman" w:hAnsi="Times New Roman"/>
          <w:color w:val="1f1f1f"/>
          <w:sz w:val="20"/>
        </w:rPr>
        <w:t xml:space="preserve"> This civil action was thus “commenced” in the Tarrant County district court on March 17, 2017, not in the business court. Its removal to the business court seven years later on September 11, 2024 [R.011] did not </w:t>
      </w:r>
      <w:r>
        <w:rPr>
          <w:rFonts w:ascii="Times New Roman" w:hAnsi="Times New Roman"/>
          <w:i/>
          <w:color w:val="1f1f1f"/>
          <w:sz w:val="20"/>
        </w:rPr>
        <w:t>commence</w:t>
      </w:r>
      <w:r>
        <w:rPr>
          <w:rFonts w:ascii="Times New Roman" w:hAnsi="Times New Roman"/>
          <w:color w:val="1f1f1f"/>
          <w:sz w:val="20"/>
        </w:rPr>
        <w:t xml:space="preserve"> a new civil action but </w:t>
      </w:r>
      <w:r>
        <w:rPr>
          <w:rFonts w:ascii="Times New Roman" w:hAnsi="Times New Roman"/>
          <w:i/>
          <w:color w:val="1f1f1f"/>
          <w:sz w:val="20"/>
        </w:rPr>
        <w:t>continued</w:t>
      </w:r>
      <w:r>
        <w:rPr>
          <w:rFonts w:ascii="Times New Roman" w:hAnsi="Times New Roman"/>
          <w:color w:val="1f1f1f"/>
          <w:sz w:val="20"/>
        </w:rPr>
        <w:t xml:space="preserve"> the previous one in a different court.</w:t>
      </w:r>
      <w:bookmarkStart w:id="67" w:name="co_fnRef_B00142082955422_ID0E6TAE_1"/>
      <w:hyperlink w:anchor="co_footnote_B00142082955422_1">
        <w:r>
          <w:rPr>
            <w:rFonts w:ascii="Times New Roman" w:hAnsi="Times New Roman"/>
            <w:color w:val="006fc4"/>
            <w:sz w:val="16"/>
            <w:vertAlign w:val="superscript"/>
          </w:rPr>
          <w:t>14</w:t>
        </w:r>
      </w:hyperlink>
      <w:bookmarkEnd w:id="67"/>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Legislature's choice of “commenced” rather than “filed” appears to be deliberate. The term </w:t>
      </w:r>
      <w:r>
        <w:rPr>
          <w:rFonts w:ascii="Times New Roman" w:hAnsi="Times New Roman"/>
          <w:i/>
          <w:color w:val="1f1f1f"/>
          <w:sz w:val="20"/>
        </w:rPr>
        <w:t>filed</w:t>
      </w:r>
      <w:r>
        <w:rPr>
          <w:rFonts w:ascii="Times New Roman" w:hAnsi="Times New Roman"/>
          <w:color w:val="1f1f1f"/>
          <w:sz w:val="20"/>
        </w:rPr>
        <w:t xml:space="preserve"> can mean to “commence a lawsuit” in some contexts, but it's primary meaning is to “deliver a legal document to the court clerk ... for placement into the official record.”</w:t>
      </w:r>
      <w:bookmarkStart w:id="68" w:name="co_fnRef_B00152082955422_ID0E1XAE_1"/>
      <w:hyperlink w:anchor="co_footnote_B00152082955422_1">
        <w:r>
          <w:rPr>
            <w:rFonts w:ascii="Times New Roman" w:hAnsi="Times New Roman"/>
            <w:color w:val="006fc4"/>
            <w:sz w:val="16"/>
            <w:vertAlign w:val="superscript"/>
          </w:rPr>
          <w:t>15</w:t>
        </w:r>
      </w:hyperlink>
      <w:bookmarkEnd w:id="68"/>
      <w:r>
        <w:rPr>
          <w:rFonts w:ascii="Times New Roman" w:hAnsi="Times New Roman"/>
          <w:color w:val="1f1f1f"/>
          <w:sz w:val="20"/>
        </w:rPr>
        <w:t xml:space="preserve"> The rules of procedure employ this broader meaning by requiring that </w:t>
      </w:r>
      <w:r>
        <w:rPr>
          <w:rFonts w:ascii="Times New Roman" w:hAnsi="Times New Roman"/>
          <w:i/>
          <w:color w:val="1f1f1f"/>
          <w:sz w:val="20"/>
        </w:rPr>
        <w:t>all</w:t>
      </w:r>
      <w:r>
        <w:rPr>
          <w:rFonts w:ascii="Times New Roman" w:hAnsi="Times New Roman"/>
          <w:color w:val="1f1f1f"/>
          <w:sz w:val="20"/>
        </w:rPr>
        <w:t xml:space="preserve"> pleadings and motions “must be filed with the clerk of the court” unless tendered in open court. </w:t>
      </w:r>
      <w:hyperlink r:id="r37">
        <w:r>
          <w:rPr>
            <w:rFonts w:ascii="Times New Roman" w:hAnsi="Times New Roman"/>
            <w:color w:val="006fc4"/>
            <w:sz w:val="20"/>
          </w:rPr>
          <w:t>Tex. R. Civ. P.</w:t>
        </w:r>
        <w:r>
          <w:rPr>
            <w:rFonts w:ascii="Times New Roman" w:hAnsi="Times New Roman"/>
            <w:color w:val="006fc4"/>
            <w:sz w:val="20"/>
          </w:rPr>
          <w:t xml:space="preserve"> 21(a)</w:t>
        </w:r>
      </w:hyperlink>
      <w:r>
        <w:rPr>
          <w:rFonts w:ascii="Times New Roman" w:hAnsi="Times New Roman"/>
          <w:color w:val="1f1f1f"/>
          <w:sz w:val="20"/>
        </w:rPr>
        <w:t xml:space="preserve"> (emphasis added). Chapter 25A uses “filed” more than a dozen times to refer to filings in both local trial courts and the business court.</w:t>
      </w:r>
      <w:bookmarkStart w:id="69" w:name="co_fnRef_B00162082955422_ID0E5YAE_1"/>
      <w:hyperlink w:anchor="co_footnote_B00162082955422_1">
        <w:r>
          <w:rPr>
            <w:rFonts w:ascii="Times New Roman" w:hAnsi="Times New Roman"/>
            <w:color w:val="006fc4"/>
            <w:sz w:val="16"/>
            <w:vertAlign w:val="superscript"/>
          </w:rPr>
          <w:t>16</w:t>
        </w:r>
      </w:hyperlink>
      <w:bookmarkEnd w:id="69"/>
      <w:r>
        <w:rPr>
          <w:rFonts w:ascii="Times New Roman" w:hAnsi="Times New Roman"/>
          <w:color w:val="1f1f1f"/>
          <w:sz w:val="20"/>
        </w:rPr>
        <w:t xml:space="preserve"> But Chapter 25A uses “commenced” only in its effective date clause. So while this civil action was “filed” in the 236th district court before removal </w:t>
      </w:r>
      <w:r>
        <w:rPr>
          <w:rFonts w:ascii="Times New Roman" w:hAnsi="Times New Roman"/>
          <w:i/>
          <w:color w:val="1f1f1f"/>
          <w:sz w:val="20"/>
        </w:rPr>
        <w:t>and</w:t>
      </w:r>
      <w:r>
        <w:rPr>
          <w:rFonts w:ascii="Times New Roman" w:hAnsi="Times New Roman"/>
          <w:color w:val="1f1f1f"/>
          <w:sz w:val="20"/>
        </w:rPr>
        <w:t xml:space="preserve"> also “filed” in the Business Court after removal, it was “commenced” only in the former. And that was before the effective date of September 1, 2024.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structure of Chapter 25A makes plain the same distinction between an “initial filing” in the Business Court (</w:t>
      </w:r>
      <w:hyperlink r:id="r38">
        <w:r>
          <w:rPr>
            <w:rFonts w:ascii="Times New Roman" w:hAnsi="Times New Roman"/>
            <w:color w:val="006fc4"/>
            <w:sz w:val="20"/>
          </w:rPr>
          <w:t>§ 25A.006(a)</w:t>
        </w:r>
      </w:hyperlink>
      <w:r>
        <w:rPr>
          <w:rFonts w:ascii="Times New Roman" w:hAnsi="Times New Roman"/>
          <w:color w:val="1f1f1f"/>
          <w:sz w:val="20"/>
        </w:rPr>
        <w:t>–</w:t>
      </w:r>
      <w:hyperlink r:id="r39">
        <w:r>
          <w:rPr>
            <w:rFonts w:ascii="Times New Roman" w:hAnsi="Times New Roman"/>
            <w:color w:val="006fc4"/>
            <w:sz w:val="20"/>
          </w:rPr>
          <w:t>(c)</w:t>
        </w:r>
      </w:hyperlink>
      <w:r>
        <w:rPr>
          <w:rFonts w:ascii="Times New Roman" w:hAnsi="Times New Roman"/>
          <w:color w:val="1f1f1f"/>
          <w:sz w:val="20"/>
        </w:rPr>
        <w:t>) and a later “removal” to the Business Court (</w:t>
      </w:r>
      <w:hyperlink r:id="r40">
        <w:r>
          <w:rPr>
            <w:rFonts w:ascii="Times New Roman" w:hAnsi="Times New Roman"/>
            <w:color w:val="006fc4"/>
            <w:sz w:val="20"/>
          </w:rPr>
          <w:t>§ 25A.006(d)</w:t>
        </w:r>
      </w:hyperlink>
      <w:r>
        <w:rPr>
          <w:rFonts w:ascii="Times New Roman" w:hAnsi="Times New Roman"/>
          <w:color w:val="1f1f1f"/>
          <w:sz w:val="20"/>
        </w:rPr>
        <w:t>–</w:t>
      </w:r>
      <w:hyperlink r:id="r41">
        <w:r>
          <w:rPr>
            <w:rFonts w:ascii="Times New Roman" w:hAnsi="Times New Roman"/>
            <w:color w:val="006fc4"/>
            <w:sz w:val="20"/>
          </w:rPr>
          <w:t>(j)</w:t>
        </w:r>
      </w:hyperlink>
      <w:r>
        <w:rPr>
          <w:rFonts w:ascii="Times New Roman" w:hAnsi="Times New Roman"/>
          <w:color w:val="1f1f1f"/>
          <w:sz w:val="20"/>
        </w:rPr>
        <w:t>). It provides that removal does not commence a new civil action but transfers an existing one: “the clerk of the court in which the action was originally filed shall immediately transfer the action to the business court in accordance with rules adopted by the supreme court.”</w:t>
      </w:r>
      <w:bookmarkStart w:id="70" w:name="co_fnRef_B00172082955422_ID0EF4AE_1"/>
      <w:hyperlink w:anchor="co_footnote_B00172082955422_1">
        <w:r>
          <w:rPr>
            <w:rFonts w:ascii="Times New Roman" w:hAnsi="Times New Roman"/>
            <w:color w:val="006fc4"/>
            <w:sz w:val="16"/>
            <w:vertAlign w:val="superscript"/>
          </w:rPr>
          <w:t>17</w:t>
        </w:r>
      </w:hyperlink>
      <w:bookmarkEnd w:id="70"/>
      <w:r>
        <w:rPr>
          <w:rFonts w:ascii="Times New Roman" w:hAnsi="Times New Roman"/>
          <w:color w:val="1f1f1f"/>
          <w:sz w:val="20"/>
        </w:rPr>
        <w:t xml:space="preserve"> The rules of civil procedure adopted by the Supreme Court also distinguish between an “Action Originally Filed in the Business Court” (</w:t>
      </w:r>
      <w:hyperlink r:id="r42">
        <w:r>
          <w:rPr>
            <w:rFonts w:ascii="Times New Roman" w:hAnsi="Times New Roman"/>
            <w:color w:val="006fc4"/>
            <w:sz w:val="20"/>
          </w:rPr>
          <w:t>Tex. R. Civ. P.</w:t>
        </w:r>
        <w:r>
          <w:rPr>
            <w:rFonts w:ascii="Times New Roman" w:hAnsi="Times New Roman"/>
            <w:color w:val="006fc4"/>
            <w:sz w:val="20"/>
          </w:rPr>
          <w:t xml:space="preserve"> 354</w:t>
        </w:r>
      </w:hyperlink>
      <w:r>
        <w:rPr>
          <w:rFonts w:ascii="Times New Roman" w:hAnsi="Times New Roman"/>
          <w:color w:val="1f1f1f"/>
          <w:sz w:val="20"/>
        </w:rPr>
        <w:t>) and an “Action Removed to the Business Court” (</w:t>
      </w:r>
      <w:hyperlink r:id="r43">
        <w:r>
          <w:rPr>
            <w:rFonts w:ascii="Times New Roman" w:hAnsi="Times New Roman"/>
            <w:color w:val="006fc4"/>
            <w:sz w:val="20"/>
          </w:rPr>
          <w:t>Tex. R. Civ. P.</w:t>
        </w:r>
        <w:r>
          <w:rPr>
            <w:rFonts w:ascii="Times New Roman" w:hAnsi="Times New Roman"/>
            <w:color w:val="006fc4"/>
            <w:sz w:val="20"/>
          </w:rPr>
          <w:t xml:space="preserve"> 355</w:t>
        </w:r>
      </w:hyperlink>
      <w:r>
        <w:rPr>
          <w:rFonts w:ascii="Times New Roman" w:hAnsi="Times New Roman"/>
          <w:color w:val="1f1f1f"/>
          <w:sz w:val="20"/>
        </w:rPr>
        <w:t xml:space="preserve">). As a result, removal of a pending civil action does not </w:t>
      </w:r>
      <w:r>
        <w:rPr>
          <w:rFonts w:ascii="Times New Roman" w:hAnsi="Times New Roman"/>
          <w:i/>
          <w:color w:val="1f1f1f"/>
          <w:sz w:val="20"/>
        </w:rPr>
        <w:t>commence</w:t>
      </w:r>
      <w:r>
        <w:rPr>
          <w:rFonts w:ascii="Times New Roman" w:hAnsi="Times New Roman"/>
          <w:color w:val="1f1f1f"/>
          <w:sz w:val="20"/>
        </w:rPr>
        <w:t xml:space="preserve"> a new civil action in the Business Court but simply </w:t>
      </w:r>
      <w:r>
        <w:rPr>
          <w:rFonts w:ascii="Times New Roman" w:hAnsi="Times New Roman"/>
          <w:i/>
          <w:color w:val="1f1f1f"/>
          <w:sz w:val="20"/>
        </w:rPr>
        <w:t>transfers</w:t>
      </w:r>
      <w:r>
        <w:rPr>
          <w:rFonts w:ascii="Times New Roman" w:hAnsi="Times New Roman"/>
          <w:color w:val="1f1f1f"/>
          <w:sz w:val="20"/>
        </w:rPr>
        <w:t xml:space="preserve"> an existing one. We assume the Legislature used “commenced” advisedly in the effective date clause for just this purpose.</w:t>
      </w:r>
      <w:bookmarkStart w:id="71" w:name="co_fnRef_B00182082955422_ID0E45AE_1"/>
      <w:hyperlink w:anchor="co_footnote_B00182082955422_1">
        <w:r>
          <w:rPr>
            <w:rFonts w:ascii="Times New Roman" w:hAnsi="Times New Roman"/>
            <w:color w:val="006fc4"/>
            <w:sz w:val="16"/>
            <w:vertAlign w:val="superscript"/>
          </w:rPr>
          <w:t>18</w:t>
        </w:r>
      </w:hyperlink>
      <w:bookmarkEnd w:id="71"/>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72" w:name="co_pp_sp_999_3_1"/>
      <w:r>
        <w:rPr>
          <w:rFonts w:ascii="Times New Roman" w:hAnsi="Times New Roman"/>
          <w:b/>
          <w:color w:val="000000"/>
          <w:sz w:val="20"/>
        </w:rPr>
        <w:t>*3</w:t>
      </w:r>
      <w:bookmarkEnd w:id="72"/>
      <w:r>
        <w:rPr>
          <w:rFonts w:ascii="Times New Roman" w:hAnsi="Times New Roman"/>
          <w:color w:val="1f1f1f"/>
          <w:sz w:val="20"/>
        </w:rPr>
        <w:t xml:space="preserve"> A different case would be presented if a civil action filed in a district court were nonsuited (an “unqualified and absolute” right under Texas law),</w:t>
      </w:r>
      <w:bookmarkStart w:id="73" w:name="co_fnRef_B00192082955422_ID0EEBAG_1"/>
      <w:hyperlink w:anchor="co_footnote_B00192082955422_1">
        <w:r>
          <w:rPr>
            <w:rFonts w:ascii="Times New Roman" w:hAnsi="Times New Roman"/>
            <w:color w:val="006fc4"/>
            <w:sz w:val="16"/>
            <w:vertAlign w:val="superscript"/>
          </w:rPr>
          <w:t>19</w:t>
        </w:r>
      </w:hyperlink>
      <w:bookmarkEnd w:id="73"/>
      <w:r>
        <w:rPr>
          <w:rFonts w:ascii="Times New Roman" w:hAnsi="Times New Roman"/>
          <w:color w:val="1f1f1f"/>
          <w:sz w:val="20"/>
        </w:rPr>
        <w:t xml:space="preserve"> and a new civil action commenced in the business court. But that did not occur here and should become unlikely in the future as time and limitations pass.</w:t>
      </w:r>
      <w:bookmarkStart w:id="74" w:name="co_fnRef_B00202082955422_ID0EOBAG_1"/>
      <w:hyperlink w:anchor="co_footnote_B00202082955422_1">
        <w:r>
          <w:rPr>
            <w:rFonts w:ascii="Times New Roman" w:hAnsi="Times New Roman"/>
            <w:color w:val="006fc4"/>
            <w:sz w:val="16"/>
            <w:vertAlign w:val="superscript"/>
          </w:rPr>
          <w:t>20</w:t>
        </w:r>
      </w:hyperlink>
      <w:bookmarkEnd w:id="74"/>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ETC points out correctly that chapter 25A does not explicitly say it applies “only” to cases commenced on or after September 1, 2024, and for cases commenced before that date does not expressly prohibit removal or state that previous law governs.</w:t>
      </w:r>
      <w:bookmarkStart w:id="75" w:name="co_fnRef_B00212082955422_ID0EVEAG_1"/>
      <w:hyperlink w:anchor="co_footnote_B00212082955422_1">
        <w:r>
          <w:rPr>
            <w:rFonts w:ascii="Times New Roman" w:hAnsi="Times New Roman"/>
            <w:color w:val="006fc4"/>
            <w:sz w:val="16"/>
            <w:vertAlign w:val="superscript"/>
          </w:rPr>
          <w:t>21</w:t>
        </w:r>
      </w:hyperlink>
      <w:bookmarkEnd w:id="75"/>
      <w:r>
        <w:rPr>
          <w:rFonts w:ascii="Times New Roman" w:hAnsi="Times New Roman"/>
          <w:color w:val="1f1f1f"/>
          <w:sz w:val="20"/>
        </w:rPr>
        <w:t xml:space="preserve"> With perfect hindsight, one can always rewrite a statute to make it more plain. But the Legislature is not required to exercise perfect hindsight, and “we cannot re-write this section to make its boundaries more distinct.”</w:t>
      </w:r>
      <w:bookmarkStart w:id="76" w:name="co_fnRef_B00222082955422_ID0EJFAG_1"/>
      <w:hyperlink w:anchor="co_footnote_B00222082955422_1">
        <w:r>
          <w:rPr>
            <w:rFonts w:ascii="Times New Roman" w:hAnsi="Times New Roman"/>
            <w:color w:val="006fc4"/>
            <w:sz w:val="16"/>
            <w:vertAlign w:val="superscript"/>
          </w:rPr>
          <w:t>22</w:t>
        </w:r>
      </w:hyperlink>
      <w:bookmarkEnd w:id="76"/>
      <w:r>
        <w:rPr>
          <w:rFonts w:ascii="Times New Roman" w:hAnsi="Times New Roman"/>
          <w:color w:val="1f1f1f"/>
          <w:sz w:val="20"/>
        </w:rPr>
        <w:t xml:space="preserve"> The fundamental problem here is that if the Act were to apply to civil actions commenced </w:t>
      </w:r>
      <w:r>
        <w:rPr>
          <w:rFonts w:ascii="Times New Roman" w:hAnsi="Times New Roman"/>
          <w:i/>
          <w:color w:val="1f1f1f"/>
          <w:sz w:val="20"/>
        </w:rPr>
        <w:t>both before and after</w:t>
      </w:r>
      <w:r>
        <w:rPr>
          <w:rFonts w:ascii="Times New Roman" w:hAnsi="Times New Roman"/>
          <w:color w:val="1f1f1f"/>
          <w:sz w:val="20"/>
        </w:rPr>
        <w:t xml:space="preserve"> the effective date, the effective date itself would be meaningless; the Act would apply to all cases everywhere all at once. We cannot construe this effective date to effectively eliminate any effective date.</w:t>
      </w:r>
      <w:bookmarkStart w:id="77" w:name="co_fnRef_B00232082955422_ID0EYFAG_1"/>
      <w:hyperlink w:anchor="co_footnote_B00232082955422_1">
        <w:r>
          <w:rPr>
            <w:rFonts w:ascii="Times New Roman" w:hAnsi="Times New Roman"/>
            <w:color w:val="006fc4"/>
            <w:sz w:val="16"/>
            <w:vertAlign w:val="superscript"/>
          </w:rPr>
          <w:t>23</w:t>
        </w:r>
      </w:hyperlink>
      <w:bookmarkEnd w:id="77"/>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Because removal to the business court does not apply to cases commenced elsewhere before September 1, 2024, we hold the business court did not abuse its discretion by remanding this civil action to the district court from which it came.</w:t>
      </w:r>
    </w:p>
    <w:p>
      <w:pPr>
        <w:spacing w:before="0" w:after="0" w:line="275" w:lineRule="atLeast"/>
        <w:jc w:val="both"/>
      </w:pPr>
      <w:r>
        <w:rPr>
          <w:rFonts w:ascii="Times New Roman" w:hAnsi="Times New Roman"/>
          <w:color w:val="1f1f1f"/>
          <w:sz w:val="20"/>
        </w:rPr>
        <w:t> </w:t>
      </w:r>
    </w:p>
    <w:bookmarkStart w:id="78" w:name="co_anchor_Iaa1e9f5100f011f0b33de580a5f6"/>
    <w:bookmarkStart w:id="79" w:name="co_anchor_Iaa1e9f5100f011f0b33de580a2"/>
    <w:p>
      <w:pPr>
        <w:spacing w:before="400" w:after="0" w:line="275" w:lineRule="atLeast"/>
      </w:pPr>
      <w:r>
        <w:rPr>
          <w:rFonts w:ascii="Times New Roman" w:hAnsi="Times New Roman"/>
          <w:b/>
          <w:color w:val="1f1f1f"/>
          <w:sz w:val="20"/>
        </w:rPr>
        <w:t>II. Adequate Remedy by Appeal</w:t>
      </w:r>
    </w:p>
    <w:bookmarkEnd w:id="79"/>
    <w:bookmarkEnd w:id="78"/>
    <w:p>
      <w:pPr>
        <w:spacing w:before="0" w:after="0" w:line="275" w:lineRule="atLeast"/>
        <w:jc w:val="both"/>
      </w:pPr>
      <w:hyperlink w:anchor="co_hn_anchor_F42082955422_1">
        <w:r>
          <w:rPr>
            <w:rFonts w:ascii="Times New Roman" w:hAnsi="Times New Roman"/>
            <w:b/>
            <w:color w:val="252525"/>
            <w:sz w:val="20"/>
            <w:bdr w:val="none" w:space="2"/>
            <w:vertAlign w:val="superscript"/>
          </w:rPr>
          <w:t>[4]</w:t>
        </w:r>
      </w:hyperlink>
      <w:r>
        <w:rPr>
          <w:rFonts w:ascii="Times New Roman" w:hAnsi="Times New Roman"/>
          <w:color w:val="1f1f1f"/>
          <w:sz w:val="20"/>
        </w:rPr>
        <w:t>Normally, we would not address whether an adequate remedy exists if we find no abuse of discretion.</w:t>
      </w:r>
      <w:bookmarkStart w:id="80" w:name="co_fnRef_B00242082955422_ID0EXJAG_1"/>
      <w:hyperlink w:anchor="co_footnote_B00242082955422_1">
        <w:r>
          <w:rPr>
            <w:rFonts w:ascii="Times New Roman" w:hAnsi="Times New Roman"/>
            <w:color w:val="006fc4"/>
            <w:sz w:val="16"/>
            <w:vertAlign w:val="superscript"/>
          </w:rPr>
          <w:t>24</w:t>
        </w:r>
      </w:hyperlink>
      <w:bookmarkEnd w:id="80"/>
      <w:r>
        <w:rPr>
          <w:rFonts w:ascii="Times New Roman" w:hAnsi="Times New Roman"/>
          <w:color w:val="1f1f1f"/>
          <w:sz w:val="20"/>
        </w:rPr>
        <w:t xml:space="preserve"> But the Supreme Court has repeated twice recently that in complex cases it may be prudent for courts of appeals to address alternative issues in the interest of judicial economy, rather than having cases “bounce back and forth ... between levels of the court system” should the Supreme Court take a different view.</w:t>
      </w:r>
      <w:bookmarkStart w:id="81" w:name="co_fnRef_B00252082955422_ID0EMKAG_1"/>
      <w:hyperlink w:anchor="co_footnote_B00252082955422_1">
        <w:r>
          <w:rPr>
            <w:rFonts w:ascii="Times New Roman" w:hAnsi="Times New Roman"/>
            <w:color w:val="006fc4"/>
            <w:sz w:val="16"/>
            <w:vertAlign w:val="superscript"/>
          </w:rPr>
          <w:t>25</w:t>
        </w:r>
      </w:hyperlink>
      <w:bookmarkEnd w:id="81"/>
      <w:r>
        <w:rPr>
          <w:rFonts w:ascii="Times New Roman" w:hAnsi="Times New Roman"/>
          <w:color w:val="1f1f1f"/>
          <w:sz w:val="20"/>
        </w:rPr>
        <w:t xml:space="preserve"> Because the issues here have already been raised in other appeals, and in this unique context of new trial and appellate courts interpreting new rules, we briefly address when mandamus review might be available in this Court.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82" w:name="co_pp_sp_999_4_1"/>
      <w:r>
        <w:rPr>
          <w:rFonts w:ascii="Times New Roman" w:hAnsi="Times New Roman"/>
          <w:b/>
          <w:color w:val="000000"/>
          <w:sz w:val="20"/>
        </w:rPr>
        <w:t>*4</w:t>
      </w:r>
      <w:bookmarkEnd w:id="82"/>
      <w:r>
        <w:rPr>
          <w:rFonts w:ascii="Times New Roman" w:hAnsi="Times New Roman"/>
          <w:color w:val="1f1f1f"/>
          <w:sz w:val="20"/>
        </w:rPr>
        <w:t xml:space="preserve"> </w:t>
      </w:r>
      <w:hyperlink w:anchor="co_hn_anchor_F52082955422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82955422_1">
        <w:r>
          <w:rPr>
            <w:rFonts w:ascii="Times New Roman" w:hAnsi="Times New Roman"/>
            <w:b/>
            <w:color w:val="252525"/>
            <w:sz w:val="20"/>
            <w:bdr w:val="none" w:space="2"/>
            <w:vertAlign w:val="superscript"/>
          </w:rPr>
          <w:t>[6]</w:t>
        </w:r>
      </w:hyperlink>
      <w:r>
        <w:rPr>
          <w:rFonts w:ascii="Times New Roman" w:hAnsi="Times New Roman"/>
          <w:color w:val="1f1f1f"/>
          <w:sz w:val="20"/>
        </w:rPr>
        <w:t>First, the absence of a right to interlocutory appeal neither requires nor precludes mandamus review. “There is no definitive list of when [a final] appeal will be adequate, as it depends on a careful balance of the case-specific benefits and detriments of delaying or interrupting a particular proceeding.”</w:t>
      </w:r>
      <w:bookmarkStart w:id="83" w:name="co_fnRef_B00262082955422_ID0EJOAG_1"/>
      <w:hyperlink w:anchor="co_footnote_B00262082955422_1">
        <w:r>
          <w:rPr>
            <w:rFonts w:ascii="Times New Roman" w:hAnsi="Times New Roman"/>
            <w:color w:val="006fc4"/>
            <w:sz w:val="16"/>
            <w:vertAlign w:val="superscript"/>
          </w:rPr>
          <w:t>26</w:t>
        </w:r>
      </w:hyperlink>
      <w:bookmarkEnd w:id="83"/>
      <w:r>
        <w:rPr>
          <w:rFonts w:ascii="Times New Roman" w:hAnsi="Times New Roman"/>
          <w:color w:val="1f1f1f"/>
          <w:sz w:val="20"/>
        </w:rPr>
        <w:t xml:space="preserve"> Removal of qualifying cases to the business court is a statutory right that must be respected, so we decline to say there can be no immediate review in cases where that right is improperly granted or denied. But appellate review of </w:t>
      </w:r>
      <w:r>
        <w:rPr>
          <w:rFonts w:ascii="Times New Roman" w:hAnsi="Times New Roman"/>
          <w:i/>
          <w:color w:val="1f1f1f"/>
          <w:sz w:val="20"/>
        </w:rPr>
        <w:t>every</w:t>
      </w:r>
      <w:r>
        <w:rPr>
          <w:rFonts w:ascii="Times New Roman" w:hAnsi="Times New Roman"/>
          <w:color w:val="1f1f1f"/>
          <w:sz w:val="20"/>
        </w:rPr>
        <w:t xml:space="preserve"> order granting or denying remand would add “unproductively to the expense and delay of civil litigation.”</w:t>
      </w:r>
      <w:bookmarkStart w:id="84" w:name="co_fnRef_B00272082955422_ID0E6OAG_1"/>
      <w:hyperlink w:anchor="co_footnote_B00272082955422_1">
        <w:r>
          <w:rPr>
            <w:rFonts w:ascii="Times New Roman" w:hAnsi="Times New Roman"/>
            <w:color w:val="006fc4"/>
            <w:sz w:val="16"/>
            <w:vertAlign w:val="superscript"/>
          </w:rPr>
          <w:t>27</w:t>
        </w:r>
      </w:hyperlink>
      <w:bookmarkEnd w:id="84"/>
      <w:r>
        <w:rPr>
          <w:rFonts w:ascii="Times New Roman" w:hAnsi="Times New Roman"/>
          <w:color w:val="1f1f1f"/>
          <w:sz w:val="20"/>
        </w:rPr>
        <w:t xml:space="preserve"> “Prudent mandamus relief is also preferable to legislative enlargement of interlocutory appeals,”</w:t>
      </w:r>
      <w:bookmarkStart w:id="85" w:name="co_fnRef_B00282082955422_ID0EPPAG_1"/>
      <w:hyperlink w:anchor="co_footnote_B00282082955422_1">
        <w:r>
          <w:rPr>
            <w:rFonts w:ascii="Times New Roman" w:hAnsi="Times New Roman"/>
            <w:color w:val="006fc4"/>
            <w:sz w:val="16"/>
            <w:vertAlign w:val="superscript"/>
          </w:rPr>
          <w:t>28</w:t>
        </w:r>
      </w:hyperlink>
      <w:bookmarkEnd w:id="85"/>
      <w:r>
        <w:rPr>
          <w:rFonts w:ascii="Times New Roman" w:hAnsi="Times New Roman"/>
          <w:color w:val="1f1f1f"/>
          <w:sz w:val="20"/>
        </w:rPr>
        <w:t xml:space="preserve"> in part because our rules allow appellate courts to deny mandamus relief without waiting for a response or issuing an opinion.</w:t>
      </w:r>
      <w:bookmarkStart w:id="86" w:name="co_fnRef_B00292082955422_ID0EWPAG_1"/>
      <w:hyperlink w:anchor="co_footnote_B00292082955422_1">
        <w:r>
          <w:rPr>
            <w:rFonts w:ascii="Times New Roman" w:hAnsi="Times New Roman"/>
            <w:color w:val="006fc4"/>
            <w:sz w:val="16"/>
            <w:vertAlign w:val="superscript"/>
          </w:rPr>
          <w:t>29</w:t>
        </w:r>
      </w:hyperlink>
      <w:bookmarkEnd w:id="8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Second, the business court was designed for prompt and uniform resolution of complex business litigation,</w:t>
      </w:r>
      <w:bookmarkStart w:id="87" w:name="co_fnRef_B00302082955422_ID0EGUAG_1"/>
      <w:hyperlink w:anchor="co_footnote_B00302082955422_1">
        <w:r>
          <w:rPr>
            <w:rFonts w:ascii="Times New Roman" w:hAnsi="Times New Roman"/>
            <w:color w:val="006fc4"/>
            <w:sz w:val="16"/>
            <w:vertAlign w:val="superscript"/>
          </w:rPr>
          <w:t>30</w:t>
        </w:r>
      </w:hyperlink>
      <w:bookmarkEnd w:id="87"/>
      <w:r>
        <w:rPr>
          <w:rFonts w:ascii="Times New Roman" w:hAnsi="Times New Roman"/>
          <w:color w:val="1f1f1f"/>
          <w:sz w:val="20"/>
        </w:rPr>
        <w:t xml:space="preserve"> and restricted from adjudicating claims for medical or legal malpractice, or for monetary damages for bodily injury or death.</w:t>
      </w:r>
      <w:bookmarkStart w:id="88" w:name="co_fnRef_B00312082955422_ID0ENUAG_1"/>
      <w:hyperlink w:anchor="co_footnote_B00312082955422_1">
        <w:r>
          <w:rPr>
            <w:rFonts w:ascii="Times New Roman" w:hAnsi="Times New Roman"/>
            <w:color w:val="006fc4"/>
            <w:sz w:val="16"/>
            <w:vertAlign w:val="superscript"/>
          </w:rPr>
          <w:t>31</w:t>
        </w:r>
      </w:hyperlink>
      <w:bookmarkEnd w:id="88"/>
      <w:r>
        <w:rPr>
          <w:rFonts w:ascii="Times New Roman" w:hAnsi="Times New Roman"/>
          <w:color w:val="1f1f1f"/>
          <w:sz w:val="20"/>
        </w:rPr>
        <w:t xml:space="preserve"> Business court judges are required to have expertise not generally required of other judges.</w:t>
      </w:r>
      <w:bookmarkStart w:id="89" w:name="co_fnRef_B00322082955422_ID0EXUAG_1"/>
      <w:hyperlink w:anchor="co_footnote_B00322082955422_1">
        <w:r>
          <w:rPr>
            <w:rFonts w:ascii="Times New Roman" w:hAnsi="Times New Roman"/>
            <w:color w:val="006fc4"/>
            <w:sz w:val="16"/>
            <w:vertAlign w:val="superscript"/>
          </w:rPr>
          <w:t>32</w:t>
        </w:r>
      </w:hyperlink>
      <w:bookmarkEnd w:id="89"/>
      <w:r>
        <w:rPr>
          <w:rFonts w:ascii="Times New Roman" w:hAnsi="Times New Roman"/>
          <w:color w:val="1f1f1f"/>
          <w:sz w:val="20"/>
        </w:rPr>
        <w:t xml:space="preserve"> But these advantages are not always unique, and removal or remand may not result in the same degree of “time and money utterly wasted”</w:t>
      </w:r>
      <w:bookmarkStart w:id="90" w:name="co_fnRef_B00332082955422_ID0EBVAG_1"/>
      <w:hyperlink w:anchor="co_footnote_B00332082955422_1">
        <w:r>
          <w:rPr>
            <w:rFonts w:ascii="Times New Roman" w:hAnsi="Times New Roman"/>
            <w:color w:val="006fc4"/>
            <w:sz w:val="16"/>
            <w:vertAlign w:val="superscript"/>
          </w:rPr>
          <w:t>33</w:t>
        </w:r>
      </w:hyperlink>
      <w:bookmarkEnd w:id="90"/>
      <w:r>
        <w:rPr>
          <w:rFonts w:ascii="Times New Roman" w:hAnsi="Times New Roman"/>
          <w:color w:val="1f1f1f"/>
          <w:sz w:val="20"/>
        </w:rPr>
        <w:t xml:space="preserve"> since the business court's jurisdiction is “concurrent” with that of other district courts,</w:t>
      </w:r>
      <w:bookmarkStart w:id="91" w:name="co_fnRef_B00342082955422_ID0EIVAG_1"/>
      <w:hyperlink w:anchor="co_footnote_B00342082955422_1">
        <w:r>
          <w:rPr>
            <w:rFonts w:ascii="Times New Roman" w:hAnsi="Times New Roman"/>
            <w:color w:val="006fc4"/>
            <w:sz w:val="16"/>
            <w:vertAlign w:val="superscript"/>
          </w:rPr>
          <w:t>34</w:t>
        </w:r>
      </w:hyperlink>
      <w:bookmarkEnd w:id="91"/>
      <w:r>
        <w:rPr>
          <w:rFonts w:ascii="Times New Roman" w:hAnsi="Times New Roman"/>
          <w:color w:val="1f1f1f"/>
          <w:sz w:val="20"/>
        </w:rPr>
        <w:t xml:space="preserve"> and the same rules of “[p]ractice, procedure, rules of evidence, issuance of process and writs, and all other matters pertaining to the conduct of trials, hearings, and other business” generally apply in both.</w:t>
      </w:r>
      <w:bookmarkStart w:id="92" w:name="co_fnRef_B00352082955422_ID0EXVAG_1"/>
      <w:hyperlink w:anchor="co_footnote_B00352082955422_1">
        <w:r>
          <w:rPr>
            <w:rFonts w:ascii="Times New Roman" w:hAnsi="Times New Roman"/>
            <w:color w:val="006fc4"/>
            <w:sz w:val="16"/>
            <w:vertAlign w:val="superscript"/>
          </w:rPr>
          <w:t>35</w:t>
        </w:r>
      </w:hyperlink>
      <w:bookmarkEnd w:id="92"/>
      <w:r>
        <w:rPr>
          <w:rFonts w:ascii="Times New Roman" w:hAnsi="Times New Roman"/>
          <w:color w:val="1f1f1f"/>
          <w:sz w:val="20"/>
        </w:rPr>
        <w:t xml:space="preserve"> The advantage of occasional mandamus review is that these factors may have greater case-specific benefits in some suits than in others, and would be less intrusive than if every remand order must be reviewed by interlocutory appeal.</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Third, the Act seeks to create a consistent, uniform, and predictable body of corporate and business law by creating a single business court with multiple divisions rather than multiple courts with separate jurisdictions. Business court judges are required to issue written opinions on dispositive rulings at any party's request, and without any request on issues important to the jurisprudence of the state.</w:t>
      </w:r>
      <w:bookmarkStart w:id="93" w:name="co_fnRef_B00362082955422_ID0E51AG_1"/>
      <w:hyperlink w:anchor="co_footnote_B00362082955422_1">
        <w:r>
          <w:rPr>
            <w:rFonts w:ascii="Times New Roman" w:hAnsi="Times New Roman"/>
            <w:color w:val="006fc4"/>
            <w:sz w:val="16"/>
            <w:vertAlign w:val="superscript"/>
          </w:rPr>
          <w:t>36</w:t>
        </w:r>
      </w:hyperlink>
      <w:bookmarkEnd w:id="93"/>
      <w:r>
        <w:rPr>
          <w:rFonts w:ascii="Times New Roman" w:hAnsi="Times New Roman"/>
          <w:color w:val="1f1f1f"/>
          <w:sz w:val="20"/>
        </w:rPr>
        <w:t xml:space="preserve"> Business court orders, judgments, and actions are appealed to this Court alone, rather than one of our 14 sister courts of appeals.</w:t>
      </w:r>
      <w:bookmarkStart w:id="94" w:name="co_fnRef_B00372082955422_ID0EI2AG_1"/>
      <w:hyperlink w:anchor="co_footnote_B00372082955422_1">
        <w:r>
          <w:rPr>
            <w:rFonts w:ascii="Times New Roman" w:hAnsi="Times New Roman"/>
            <w:color w:val="006fc4"/>
            <w:sz w:val="16"/>
            <w:vertAlign w:val="superscript"/>
          </w:rPr>
          <w:t>37</w:t>
        </w:r>
      </w:hyperlink>
      <w:bookmarkEnd w:id="94"/>
      <w:r>
        <w:rPr>
          <w:rFonts w:ascii="Times New Roman" w:hAnsi="Times New Roman"/>
          <w:color w:val="1f1f1f"/>
          <w:sz w:val="20"/>
        </w:rPr>
        <w:t xml:space="preserve"> Mandamus review of significant rulings in exceptional cases would allow this Court “to give needed and helpful direction to the law that would otherwise prove elusive,”</w:t>
      </w:r>
      <w:bookmarkStart w:id="95" w:name="co_fnRef_B00382082955422_ID0EZ2AG_1"/>
      <w:hyperlink w:anchor="co_footnote_B00382082955422_1">
        <w:r>
          <w:rPr>
            <w:rFonts w:ascii="Times New Roman" w:hAnsi="Times New Roman"/>
            <w:color w:val="006fc4"/>
            <w:sz w:val="16"/>
            <w:vertAlign w:val="superscript"/>
          </w:rPr>
          <w:t>38</w:t>
        </w:r>
      </w:hyperlink>
      <w:bookmarkEnd w:id="95"/>
      <w:r>
        <w:rPr>
          <w:rFonts w:ascii="Times New Roman" w:hAnsi="Times New Roman"/>
          <w:color w:val="1f1f1f"/>
          <w:sz w:val="20"/>
        </w:rPr>
        <w:t xml:space="preserve"> without unduly interfering on “issues that are unimportant both to the ultimate disposition of the case at hand and to the uniform development of the law.”</w:t>
      </w:r>
      <w:bookmarkStart w:id="96" w:name="co_fnRef_B00392082955422_ID0EH3AG_1"/>
      <w:hyperlink w:anchor="co_footnote_B00392082955422_1">
        <w:r>
          <w:rPr>
            <w:rFonts w:ascii="Times New Roman" w:hAnsi="Times New Roman"/>
            <w:color w:val="006fc4"/>
            <w:sz w:val="16"/>
            <w:vertAlign w:val="superscript"/>
          </w:rPr>
          <w:t>39</w:t>
        </w:r>
      </w:hyperlink>
      <w:bookmarkEnd w:id="9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Considering the benefits and detriments here, we do not believe extended mandamus review is warranted. The parties have had seven years to prepare for trial and requested a preferential trial setting before this action was removed, so many potential benefits of pretrial proceedings in a specialized business court are so much water under the bridge. If trial proceeds before a jury, it would be before a Tarrant County jury regardless of removal or remand.</w:t>
      </w:r>
      <w:bookmarkStart w:id="97" w:name="co_fnRef_B00402082955422_ID0ES6AG_1"/>
      <w:hyperlink w:anchor="co_footnote_B00402082955422_1">
        <w:r>
          <w:rPr>
            <w:rFonts w:ascii="Times New Roman" w:hAnsi="Times New Roman"/>
            <w:color w:val="006fc4"/>
            <w:sz w:val="16"/>
            <w:vertAlign w:val="superscript"/>
          </w:rPr>
          <w:t>40</w:t>
        </w:r>
      </w:hyperlink>
      <w:bookmarkEnd w:id="97"/>
      <w:r>
        <w:rPr>
          <w:rFonts w:ascii="Times New Roman" w:hAnsi="Times New Roman"/>
          <w:color w:val="1f1f1f"/>
          <w:sz w:val="20"/>
        </w:rPr>
        <w:t xml:space="preserve"> And as noted in part I, we believe the Legislature has specifically designed the effective date here to preclude removal of cases commenced elsewhere before that date.</w:t>
      </w:r>
      <w:bookmarkStart w:id="98" w:name="co_fnRef_B00412082955422_ID0E36AG_1"/>
      <w:hyperlink w:anchor="co_footnote_B00412082955422_1">
        <w:r>
          <w:rPr>
            <w:rFonts w:ascii="Times New Roman" w:hAnsi="Times New Roman"/>
            <w:color w:val="006fc4"/>
            <w:sz w:val="16"/>
            <w:vertAlign w:val="superscript"/>
          </w:rPr>
          <w:t>41</w:t>
        </w:r>
      </w:hyperlink>
      <w:bookmarkEnd w:id="98"/>
    </w:p>
    <w:p>
      <w:pPr>
        <w:spacing w:before="0" w:after="0" w:line="275" w:lineRule="atLeast"/>
        <w:jc w:val="both"/>
      </w:pPr>
      <w:r>
        <w:rPr>
          <w:rFonts w:ascii="Times New Roman" w:hAnsi="Times New Roman"/>
          <w:color w:val="1f1f1f"/>
          <w:sz w:val="20"/>
        </w:rPr>
        <w:t> </w:t>
      </w:r>
    </w:p>
    <w:bookmarkStart w:id="99" w:name="co_anchor_Iaa27ee2100f011f0b33de580a5f6"/>
    <w:p>
      <w:pPr>
        <w:spacing w:before="400" w:after="0" w:line="275" w:lineRule="atLeast"/>
        <w:jc w:val="center"/>
      </w:pPr>
      <w:r>
        <w:rPr>
          <w:rFonts w:ascii="Times New Roman" w:hAnsi="Times New Roman"/>
          <w:b/>
          <w:color w:val="1f1f1f"/>
          <w:sz w:val="20"/>
        </w:rPr>
        <w:t>CONCLUSION</w:t>
      </w:r>
    </w:p>
    <w:bookmarkEnd w:id="99"/>
    <w:p>
      <w:pPr>
        <w:spacing w:before="200" w:after="0" w:line="275" w:lineRule="atLeast"/>
        <w:jc w:val="both"/>
      </w:pPr>
      <w:bookmarkStart w:id="100" w:name="co_pp_sp_999_5_1"/>
      <w:r>
        <w:rPr>
          <w:rFonts w:ascii="Times New Roman" w:hAnsi="Times New Roman"/>
          <w:b/>
          <w:color w:val="000000"/>
          <w:sz w:val="20"/>
        </w:rPr>
        <w:t>*5</w:t>
      </w:r>
      <w:bookmarkEnd w:id="100"/>
      <w:r>
        <w:rPr>
          <w:rFonts w:ascii="Times New Roman" w:hAnsi="Times New Roman"/>
          <w:color w:val="1f1f1f"/>
          <w:sz w:val="20"/>
        </w:rPr>
        <w:t xml:space="preserve"> “Appellate courts cannot afford to grant interlocutory review of every claim that a trial court has made a pre-trial mistake. But we cannot afford to ignore them all either.”</w:t>
      </w:r>
      <w:bookmarkStart w:id="101" w:name="co_fnRef_B00422082955422_ID0E6CBG_1"/>
      <w:hyperlink w:anchor="co_footnote_B00422082955422_1">
        <w:r>
          <w:rPr>
            <w:rFonts w:ascii="Times New Roman" w:hAnsi="Times New Roman"/>
            <w:color w:val="006fc4"/>
            <w:sz w:val="16"/>
            <w:vertAlign w:val="superscript"/>
          </w:rPr>
          <w:t>42</w:t>
        </w:r>
      </w:hyperlink>
      <w:bookmarkEnd w:id="101"/>
      <w:r>
        <w:rPr>
          <w:rFonts w:ascii="Times New Roman" w:hAnsi="Times New Roman"/>
          <w:color w:val="1f1f1f"/>
          <w:sz w:val="20"/>
        </w:rPr>
        <w:t xml:space="preserve"> For the reasons stated in part I, we hold that civil actions transferred to the business court by removal must be remanded if they were commenced in another court before September 1, 2024. But for the reasons stated in part II, we hold that in these early days of business court litigation, remand and removal is subject to review by mandamus according to the same principles and rules as in any other pretrial orders, but those rules do not justify relief here. For both of those reasons, ETC's petition for mandamus is denied.</w:t>
      </w:r>
    </w:p>
    <w:p>
      <w:pPr>
        <w:spacing w:before="0" w:after="0" w:line="275" w:lineRule="atLeast"/>
        <w:jc w:val="both"/>
      </w:pPr>
      <w:r>
        <w:rPr>
          <w:rFonts w:ascii="Times New Roman" w:hAnsi="Times New Roman"/>
          <w:color w:val="1f1f1f"/>
          <w:sz w:val="20"/>
        </w:rPr>
        <w:t> </w:t>
      </w:r>
    </w:p>
    <w:bookmarkStart w:id="102" w:name="co_allCitations_1"/>
    <w:p>
      <w:pPr>
        <w:keepNext/>
        <w:keepLines/>
        <w:spacing w:before="200" w:after="0" w:line="275" w:lineRule="atLeast"/>
        <w:jc w:val="both"/>
      </w:pPr>
      <w:r>
        <w:rPr>
          <w:rFonts w:ascii="Times New Roman" w:hAnsi="Times New Roman"/>
          <w:b/>
          <w:color w:val="212121"/>
          <w:sz w:val="20"/>
        </w:rPr>
        <w:t>All Citations</w:t>
      </w:r>
    </w:p>
    <w:bookmarkEnd w:id="102"/>
    <w:p>
      <w:pPr>
        <w:spacing w:before="200" w:after="0" w:line="275" w:lineRule="atLeast"/>
        <w:jc w:val="both"/>
      </w:pPr>
      <w:r>
        <w:rPr>
          <w:rFonts w:ascii="Times New Roman" w:hAnsi="Times New Roman"/>
          <w:color w:val="1f1f1f"/>
          <w:sz w:val="20"/>
        </w:rPr>
        <w:t>--- S.W.3d ----, 2025 WL 582320</w:t>
      </w:r>
    </w:p>
    <w:p>
      <w:pPr>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cols w:num="2" w:space="240"/>
        </w:sectPr>
      </w:pPr>
    </w:p>
    <w:p>
      <w:pPr>
        <w:spacing w:before="0" w:after="0" w:line="240" w:lineRule="auto"/>
        <w:rPr>
          <w:sz w:val="60"/>
        </w:rPr>
      </w:pPr>
    </w:p>
    <w:tbl>
      <w:tblPr>
        <w:tblLayout w:type="fixed"/>
      </w:tblPr>
      <w:tblGrid>
        <w:gridCol w:w="600"/>
        <w:gridCol w:w="9450"/>
      </w:tblGrid>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000000"/>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000000"/>
                <w:sz w:val="22"/>
              </w:rPr>
            </w:pPr>
          </w:p>
        </w:tc>
      </w:tr>
      <w:tr>
        <w:tblPrEx/>
        <w:trPr/>
        <w:tc>
          <w:tcPr>
            <w:vAlign w:val="top"/>
          </w:tcPr>
          <w:p>
            <w:pPr>
              <w:spacing w:before="0" w:after="0" w:line="275" w:lineRule="atLeast"/>
            </w:pPr>
            <w:bookmarkStart w:id="103" w:name="co_footnote_B00012082955422_1"/>
            <w:hyperlink w:anchor="co_fnRef_B00012082955422_ID0E3BAE_1">
              <w:r>
                <w:rPr>
                  <w:rFonts w:ascii="Times New Roman" w:hAnsi="Times New Roman"/>
                  <w:color w:val="006fc4"/>
                  <w:sz w:val="20"/>
                  <w:vertAlign w:val="superscript"/>
                </w:rPr>
                <w:t>1</w:t>
              </w:r>
            </w:hyperlink>
            <w:bookmarkEnd w:id="103"/>
          </w:p>
        </w:tc>
        <w:tc>
          <w:tcPr>
            <w:vAlign w:val="top"/>
          </w:tcPr>
          <w:p>
            <w:pPr>
              <w:pBdr>
                <w:bottom w:val="none" w:space="8"/>
              </w:pBdr>
              <w:spacing w:before="0" w:after="0" w:line="275" w:lineRule="atLeast"/>
              <w:jc w:val="both"/>
            </w:pPr>
            <w:r>
              <w:rPr>
                <w:rFonts w:ascii="Times New Roman" w:hAnsi="Times New Roman"/>
                <w:color w:val="000000"/>
                <w:sz w:val="20"/>
              </w:rPr>
              <w:t>Act of May 25, 2023, 88th Leg., R.S., ch. 380, § 8 (emphasis added).</w:t>
            </w:r>
          </w:p>
        </w:tc>
      </w:tr>
      <w:tr>
        <w:tblPrEx/>
        <w:trPr/>
        <w:tc>
          <w:tcPr>
            <w:vAlign w:val="top"/>
          </w:tcPr>
          <w:p>
            <w:pPr>
              <w:spacing w:before="0" w:after="0" w:line="275" w:lineRule="atLeast"/>
            </w:pPr>
            <w:bookmarkStart w:id="104" w:name="co_footnote_B00022082955422_1"/>
            <w:hyperlink w:anchor="co_fnRef_B00022082955422_ID0E1DAE_1">
              <w:r>
                <w:rPr>
                  <w:rFonts w:ascii="Times New Roman" w:hAnsi="Times New Roman"/>
                  <w:color w:val="006fc4"/>
                  <w:sz w:val="20"/>
                  <w:vertAlign w:val="superscript"/>
                </w:rPr>
                <w:t>2</w:t>
              </w:r>
            </w:hyperlink>
            <w:bookmarkEnd w:id="104"/>
          </w:p>
        </w:tc>
        <w:tc>
          <w:tcPr>
            <w:vAlign w:val="top"/>
          </w:tcPr>
          <w:p>
            <w:pPr>
              <w:pBdr>
                <w:bottom w:val="none" w:space="8"/>
              </w:pBdr>
              <w:spacing w:before="0" w:after="0" w:line="275" w:lineRule="atLeast"/>
              <w:jc w:val="both"/>
            </w:pPr>
            <w:r>
              <w:rPr>
                <w:rFonts w:ascii="Times New Roman" w:hAnsi="Times New Roman"/>
                <w:color w:val="000000"/>
                <w:sz w:val="20"/>
              </w:rPr>
              <w:t xml:space="preserve">Appellee's Motion to Dismiss Appeal for Lack of Jurisdiction, </w:t>
            </w:r>
            <w:hyperlink r:id="r44">
              <w:r>
                <w:rPr>
                  <w:rFonts w:ascii="Times New Roman" w:hAnsi="Times New Roman"/>
                  <w:i/>
                  <w:color w:val="006fc4"/>
                  <w:sz w:val="20"/>
                </w:rPr>
                <w:t>ETC Field Servs., LLC v. Tema Oil and Gas Co.</w:t>
              </w:r>
              <w:r>
                <w:rPr>
                  <w:rFonts w:ascii="Times New Roman" w:hAnsi="Times New Roman"/>
                  <w:color w:val="006fc4"/>
                  <w:sz w:val="20"/>
                </w:rPr>
                <w:t>, No. 15-24-00124-CV, ––– S.W.3d ––––, 2025 WL 582317 (Tex. App.—15th Dist., Nov. 13, 2024)</w:t>
              </w:r>
            </w:hyperlink>
            <w:r>
              <w:rPr>
                <w:rFonts w:ascii="Times New Roman" w:hAnsi="Times New Roman"/>
                <w:color w:val="000000"/>
                <w:sz w:val="20"/>
              </w:rPr>
              <w:t>.</w:t>
            </w:r>
          </w:p>
        </w:tc>
      </w:tr>
      <w:tr>
        <w:tblPrEx/>
        <w:trPr/>
        <w:tc>
          <w:tcPr>
            <w:vAlign w:val="top"/>
          </w:tcPr>
          <w:p>
            <w:pPr>
              <w:spacing w:before="0" w:after="0" w:line="275" w:lineRule="atLeast"/>
            </w:pPr>
            <w:bookmarkStart w:id="105" w:name="co_footnote_B00032082955422_1"/>
            <w:hyperlink w:anchor="co_fnRef_B00032082955422_ID0E2FAE_1">
              <w:r>
                <w:rPr>
                  <w:rFonts w:ascii="Times New Roman" w:hAnsi="Times New Roman"/>
                  <w:color w:val="006fc4"/>
                  <w:sz w:val="20"/>
                  <w:vertAlign w:val="superscript"/>
                </w:rPr>
                <w:t>3</w:t>
              </w:r>
            </w:hyperlink>
            <w:bookmarkEnd w:id="105"/>
          </w:p>
        </w:tc>
        <w:tc>
          <w:tcPr>
            <w:vAlign w:val="top"/>
          </w:tcPr>
          <w:p>
            <w:pPr>
              <w:pBdr>
                <w:bottom w:val="none" w:space="8"/>
              </w:pBdr>
              <w:spacing w:before="0" w:after="0" w:line="275" w:lineRule="atLeast"/>
              <w:jc w:val="both"/>
            </w:pPr>
            <w:hyperlink r:id="r45">
              <w:r>
                <w:rPr>
                  <w:rFonts w:ascii="Times New Roman" w:hAnsi="Times New Roman"/>
                  <w:i/>
                  <w:color w:val="006fc4"/>
                  <w:sz w:val="20"/>
                </w:rPr>
                <w:t>In re Schmitz</w:t>
              </w:r>
              <w:r>
                <w:rPr>
                  <w:rFonts w:ascii="Times New Roman" w:hAnsi="Times New Roman"/>
                  <w:color w:val="006fc4"/>
                  <w:sz w:val="20"/>
                </w:rPr>
                <w:t>, 285 S.W.3d 451, 458 (Tex. 2009)</w:t>
              </w:r>
            </w:hyperlink>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hyperlink r:id="r46">
              <w:r>
                <w:rPr>
                  <w:rFonts w:ascii="Times New Roman" w:hAnsi="Times New Roman"/>
                  <w:i/>
                  <w:color w:val="006fc4"/>
                  <w:sz w:val="20"/>
                </w:rPr>
                <w:t>In re Gulf Expl., LLC</w:t>
              </w:r>
              <w:r>
                <w:rPr>
                  <w:rFonts w:ascii="Times New Roman" w:hAnsi="Times New Roman"/>
                  <w:color w:val="006fc4"/>
                  <w:sz w:val="20"/>
                </w:rPr>
                <w:t>, 289 S.W.3d 836, 841 (Tex. 2009)</w:t>
              </w:r>
            </w:hyperlink>
            <w:r>
              <w:rPr>
                <w:rFonts w:ascii="Times New Roman" w:hAnsi="Times New Roman"/>
                <w:color w:val="000000"/>
                <w:sz w:val="20"/>
              </w:rPr>
              <w:t xml:space="preserve">; </w:t>
            </w:r>
            <w:hyperlink r:id="r47">
              <w:r>
                <w:rPr>
                  <w:rFonts w:ascii="Times New Roman" w:hAnsi="Times New Roman"/>
                  <w:i/>
                  <w:color w:val="006fc4"/>
                  <w:sz w:val="20"/>
                </w:rPr>
                <w:t>Deloitte &amp; Touche, LLP v. Fourteenth Court of Appeals</w:t>
              </w:r>
              <w:r>
                <w:rPr>
                  <w:rFonts w:ascii="Times New Roman" w:hAnsi="Times New Roman"/>
                  <w:color w:val="006fc4"/>
                  <w:sz w:val="20"/>
                </w:rPr>
                <w:t>, 951 S.W.2d 394, 396 (Tex. 1997)</w:t>
              </w:r>
            </w:hyperlink>
            <w:r>
              <w:rPr>
                <w:rFonts w:ascii="Times New Roman" w:hAnsi="Times New Roman"/>
                <w:color w:val="000000"/>
                <w:sz w:val="20"/>
              </w:rPr>
              <w:t xml:space="preserve"> (“Further, our mandamus jurisdiction is not dependent on appellate jurisdiction.”).</w:t>
            </w:r>
          </w:p>
        </w:tc>
      </w:tr>
      <w:tr>
        <w:tblPrEx/>
        <w:trPr/>
        <w:tc>
          <w:tcPr>
            <w:vAlign w:val="top"/>
          </w:tcPr>
          <w:p>
            <w:pPr>
              <w:spacing w:before="0" w:after="0" w:line="275" w:lineRule="atLeast"/>
            </w:pPr>
            <w:bookmarkStart w:id="106" w:name="co_footnote_B00042082955422_1"/>
            <w:hyperlink w:anchor="co_fnRef_B00042082955422_ID0EPGAE_1">
              <w:r>
                <w:rPr>
                  <w:rFonts w:ascii="Times New Roman" w:hAnsi="Times New Roman"/>
                  <w:color w:val="006fc4"/>
                  <w:sz w:val="20"/>
                  <w:vertAlign w:val="superscript"/>
                </w:rPr>
                <w:t>4</w:t>
              </w:r>
            </w:hyperlink>
            <w:bookmarkEnd w:id="106"/>
          </w:p>
        </w:tc>
        <w:tc>
          <w:tcPr>
            <w:vAlign w:val="top"/>
          </w:tcPr>
          <w:p>
            <w:pPr>
              <w:pBdr>
                <w:bottom w:val="none" w:space="8"/>
              </w:pBdr>
              <w:spacing w:before="0" w:after="0" w:line="275" w:lineRule="atLeast"/>
              <w:jc w:val="both"/>
            </w:pPr>
            <w:hyperlink r:id="r48">
              <w:r>
                <w:rPr>
                  <w:rFonts w:ascii="Times New Roman" w:hAnsi="Times New Roman"/>
                  <w:i/>
                  <w:color w:val="006fc4"/>
                  <w:sz w:val="20"/>
                </w:rPr>
                <w:t>In re McAllen Med. Ctr., Inc.</w:t>
              </w:r>
              <w:r>
                <w:rPr>
                  <w:rFonts w:ascii="Times New Roman" w:hAnsi="Times New Roman"/>
                  <w:color w:val="006fc4"/>
                  <w:sz w:val="20"/>
                </w:rPr>
                <w:t>, 275 S.W.3d 458, 466 (Tex. 2008)</w:t>
              </w:r>
            </w:hyperlink>
            <w:r>
              <w:rPr>
                <w:rFonts w:ascii="Times New Roman" w:hAnsi="Times New Roman"/>
                <w:color w:val="000000"/>
                <w:sz w:val="20"/>
              </w:rPr>
              <w:t>.</w:t>
            </w:r>
          </w:p>
        </w:tc>
      </w:tr>
      <w:tr>
        <w:tblPrEx/>
        <w:trPr/>
        <w:tc>
          <w:tcPr>
            <w:vAlign w:val="top"/>
          </w:tcPr>
          <w:p>
            <w:pPr>
              <w:spacing w:before="0" w:after="0" w:line="275" w:lineRule="atLeast"/>
            </w:pPr>
            <w:bookmarkStart w:id="107" w:name="co_footnote_B00052082955422_1"/>
            <w:hyperlink w:anchor="co_fnRef_B00052082955422_ID0EIKAE_1">
              <w:r>
                <w:rPr>
                  <w:rFonts w:ascii="Times New Roman" w:hAnsi="Times New Roman"/>
                  <w:color w:val="006fc4"/>
                  <w:sz w:val="20"/>
                  <w:vertAlign w:val="superscript"/>
                </w:rPr>
                <w:t>5</w:t>
              </w:r>
            </w:hyperlink>
            <w:bookmarkEnd w:id="107"/>
          </w:p>
        </w:tc>
        <w:tc>
          <w:tcPr>
            <w:vAlign w:val="top"/>
          </w:tcPr>
          <w:p>
            <w:pPr>
              <w:pBdr>
                <w:bottom w:val="none" w:space="8"/>
              </w:pBdr>
              <w:spacing w:before="0" w:after="0" w:line="275" w:lineRule="atLeast"/>
              <w:jc w:val="both"/>
            </w:pPr>
            <w:hyperlink r:id="r49">
              <w:r>
                <w:rPr>
                  <w:rFonts w:ascii="Times New Roman" w:hAnsi="Times New Roman"/>
                  <w:i/>
                  <w:color w:val="006fc4"/>
                  <w:sz w:val="20"/>
                </w:rPr>
                <w:t>In re AutoZoners, LLC</w:t>
              </w:r>
              <w:r>
                <w:rPr>
                  <w:rFonts w:ascii="Times New Roman" w:hAnsi="Times New Roman"/>
                  <w:color w:val="006fc4"/>
                  <w:sz w:val="20"/>
                </w:rPr>
                <w:t>, 694 S.W.3d 219, 223 (Tex. 2024)</w:t>
              </w:r>
            </w:hyperlink>
            <w:r>
              <w:rPr>
                <w:rFonts w:ascii="Times New Roman" w:hAnsi="Times New Roman"/>
                <w:color w:val="000000"/>
                <w:sz w:val="20"/>
              </w:rPr>
              <w:t>.</w:t>
            </w:r>
          </w:p>
        </w:tc>
      </w:tr>
      <w:tr>
        <w:tblPrEx/>
        <w:trPr/>
        <w:tc>
          <w:tcPr>
            <w:vAlign w:val="top"/>
          </w:tcPr>
          <w:p>
            <w:pPr>
              <w:spacing w:before="0" w:after="0" w:line="275" w:lineRule="atLeast"/>
            </w:pPr>
            <w:bookmarkStart w:id="108" w:name="co_footnote_B00062082955422_1"/>
            <w:hyperlink w:anchor="co_fnRef_B00062082955422_ID0E6LAE_1">
              <w:r>
                <w:rPr>
                  <w:rFonts w:ascii="Times New Roman" w:hAnsi="Times New Roman"/>
                  <w:color w:val="006fc4"/>
                  <w:sz w:val="20"/>
                  <w:vertAlign w:val="superscript"/>
                </w:rPr>
                <w:t>6</w:t>
              </w:r>
            </w:hyperlink>
            <w:bookmarkEnd w:id="108"/>
          </w:p>
        </w:tc>
        <w:tc>
          <w:tcPr>
            <w:vAlign w:val="top"/>
          </w:tcPr>
          <w:p>
            <w:pPr>
              <w:pBdr>
                <w:bottom w:val="none" w:space="8"/>
              </w:pBdr>
              <w:spacing w:before="0" w:after="0" w:line="275" w:lineRule="atLeast"/>
              <w:jc w:val="both"/>
            </w:pPr>
            <w:r>
              <w:rPr>
                <w:rFonts w:ascii="Times New Roman" w:hAnsi="Times New Roman"/>
                <w:color w:val="000000"/>
                <w:sz w:val="20"/>
              </w:rPr>
              <w:t>Act of May 25, 2023, 88th Leg., R.S., ch. 380, § 5.</w:t>
            </w:r>
          </w:p>
        </w:tc>
      </w:tr>
      <w:tr>
        <w:tblPrEx/>
        <w:trPr/>
        <w:tc>
          <w:tcPr>
            <w:vAlign w:val="top"/>
          </w:tcPr>
          <w:p>
            <w:pPr>
              <w:spacing w:before="0" w:after="0" w:line="275" w:lineRule="atLeast"/>
            </w:pPr>
            <w:bookmarkStart w:id="109" w:name="co_footnote_B00072082955422_1"/>
            <w:hyperlink w:anchor="co_fnRef_B00072082955422_ID0EJMAE_1">
              <w:r>
                <w:rPr>
                  <w:rFonts w:ascii="Times New Roman" w:hAnsi="Times New Roman"/>
                  <w:color w:val="006fc4"/>
                  <w:sz w:val="20"/>
                  <w:vertAlign w:val="superscript"/>
                </w:rPr>
                <w:t>7</w:t>
              </w:r>
            </w:hyperlink>
            <w:bookmarkEnd w:id="109"/>
          </w:p>
        </w:tc>
        <w:tc>
          <w:tcPr>
            <w:vAlign w:val="top"/>
          </w:tcPr>
          <w:p>
            <w:pPr>
              <w:pBdr>
                <w:bottom w:val="none" w:space="8"/>
              </w:pBdr>
              <w:spacing w:before="0" w:after="0" w:line="275" w:lineRule="atLeast"/>
              <w:jc w:val="both"/>
            </w:pPr>
            <w:hyperlink r:id="r50">
              <w:r>
                <w:rPr>
                  <w:rFonts w:ascii="Times New Roman" w:hAnsi="Times New Roman"/>
                  <w:color w:val="006fc4"/>
                  <w:sz w:val="20"/>
                </w:rPr>
                <w:t>Tex. Gov't Code</w:t>
              </w:r>
              <w:r>
                <w:rPr>
                  <w:rFonts w:ascii="Times New Roman" w:hAnsi="Times New Roman"/>
                  <w:color w:val="006fc4"/>
                  <w:sz w:val="20"/>
                </w:rPr>
                <w:t xml:space="preserve"> § 25A.006(d)</w:t>
              </w:r>
            </w:hyperlink>
            <w:r>
              <w:rPr>
                <w:rFonts w:ascii="Times New Roman" w:hAnsi="Times New Roman"/>
                <w:color w:val="000000"/>
                <w:sz w:val="20"/>
              </w:rPr>
              <w:t xml:space="preserve">, </w:t>
            </w:r>
            <w:hyperlink r:id="r51">
              <w:r>
                <w:rPr>
                  <w:rFonts w:ascii="Times New Roman" w:hAnsi="Times New Roman"/>
                  <w:color w:val="006fc4"/>
                  <w:sz w:val="20"/>
                </w:rPr>
                <w:t>(f)</w:t>
              </w:r>
            </w:hyperlink>
            <w:r>
              <w:rPr>
                <w:rFonts w:ascii="Times New Roman" w:hAnsi="Times New Roman"/>
                <w:color w:val="000000"/>
                <w:sz w:val="20"/>
              </w:rPr>
              <w:t>.</w:t>
            </w:r>
          </w:p>
        </w:tc>
      </w:tr>
      <w:tr>
        <w:tblPrEx/>
        <w:trPr/>
        <w:tc>
          <w:tcPr>
            <w:vAlign w:val="top"/>
          </w:tcPr>
          <w:p>
            <w:pPr>
              <w:spacing w:before="0" w:after="0" w:line="275" w:lineRule="atLeast"/>
            </w:pPr>
            <w:bookmarkStart w:id="110" w:name="co_footnote_B00082082955422_1"/>
            <w:hyperlink w:anchor="co_fnRef_B00082082955422_ID0ETMAE_1">
              <w:r>
                <w:rPr>
                  <w:rFonts w:ascii="Times New Roman" w:hAnsi="Times New Roman"/>
                  <w:color w:val="006fc4"/>
                  <w:sz w:val="20"/>
                  <w:vertAlign w:val="superscript"/>
                </w:rPr>
                <w:t>8</w:t>
              </w:r>
            </w:hyperlink>
            <w:bookmarkEnd w:id="110"/>
          </w:p>
        </w:tc>
        <w:tc>
          <w:tcPr>
            <w:vAlign w:val="top"/>
          </w:tcPr>
          <w:p>
            <w:pPr>
              <w:pBdr>
                <w:bottom w:val="none" w:space="8"/>
              </w:pBdr>
              <w:spacing w:before="0" w:after="0" w:line="275" w:lineRule="atLeast"/>
              <w:jc w:val="both"/>
            </w:pPr>
            <w:hyperlink r:id="r52">
              <w:r>
                <w:rPr>
                  <w:rFonts w:ascii="Times New Roman" w:hAnsi="Times New Roman"/>
                  <w:i/>
                  <w:color w:val="006fc4"/>
                  <w:sz w:val="20"/>
                </w:rPr>
                <w:t>Id.</w:t>
              </w:r>
              <w:r>
                <w:rPr>
                  <w:rFonts w:ascii="Times New Roman" w:hAnsi="Times New Roman"/>
                  <w:color w:val="006fc4"/>
                  <w:sz w:val="20"/>
                </w:rPr>
                <w:t xml:space="preserve"> § 25A.006(g)</w:t>
              </w:r>
            </w:hyperlink>
            <w:r>
              <w:rPr>
                <w:rFonts w:ascii="Times New Roman" w:hAnsi="Times New Roman"/>
                <w:color w:val="000000"/>
                <w:sz w:val="20"/>
              </w:rPr>
              <w:t>.</w:t>
            </w:r>
          </w:p>
        </w:tc>
      </w:tr>
      <w:tr>
        <w:tblPrEx/>
        <w:trPr/>
        <w:tc>
          <w:tcPr>
            <w:vAlign w:val="top"/>
          </w:tcPr>
          <w:p>
            <w:pPr>
              <w:spacing w:before="0" w:after="0" w:line="275" w:lineRule="atLeast"/>
            </w:pPr>
            <w:bookmarkStart w:id="111" w:name="co_footnote_B00092082955422_1"/>
            <w:hyperlink w:anchor="co_fnRef_B00092082955422_ID0EYPAE_1">
              <w:r>
                <w:rPr>
                  <w:rFonts w:ascii="Times New Roman" w:hAnsi="Times New Roman"/>
                  <w:color w:val="006fc4"/>
                  <w:sz w:val="20"/>
                  <w:vertAlign w:val="superscript"/>
                </w:rPr>
                <w:t>9</w:t>
              </w:r>
            </w:hyperlink>
            <w:bookmarkEnd w:id="111"/>
          </w:p>
        </w:tc>
        <w:tc>
          <w:tcPr>
            <w:vAlign w:val="top"/>
          </w:tcPr>
          <w:p>
            <w:pPr>
              <w:pBdr>
                <w:bottom w:val="none" w:space="8"/>
              </w:pBdr>
              <w:spacing w:before="0" w:after="0" w:line="275" w:lineRule="atLeast"/>
              <w:jc w:val="both"/>
            </w:pPr>
            <w:r>
              <w:rPr>
                <w:rFonts w:ascii="Times New Roman" w:hAnsi="Times New Roman"/>
                <w:color w:val="000000"/>
                <w:sz w:val="20"/>
              </w:rPr>
              <w:t>Act of May 25, 2023, 88th Leg., R.S., ch. 380, § 9.</w:t>
            </w:r>
          </w:p>
        </w:tc>
      </w:tr>
      <w:tr>
        <w:tblPrEx/>
        <w:trPr/>
        <w:tc>
          <w:tcPr>
            <w:vAlign w:val="top"/>
          </w:tcPr>
          <w:p>
            <w:pPr>
              <w:spacing w:before="0" w:after="0" w:line="275" w:lineRule="atLeast"/>
            </w:pPr>
            <w:bookmarkStart w:id="112" w:name="co_footnote_B00102082955422_1"/>
            <w:hyperlink w:anchor="co_fnRef_B00102082955422_ID0E6PAE_1">
              <w:r>
                <w:rPr>
                  <w:rFonts w:ascii="Times New Roman" w:hAnsi="Times New Roman"/>
                  <w:color w:val="006fc4"/>
                  <w:sz w:val="20"/>
                  <w:vertAlign w:val="superscript"/>
                </w:rPr>
                <w:t>10</w:t>
              </w:r>
            </w:hyperlink>
            <w:bookmarkEnd w:id="112"/>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 5.</w:t>
            </w:r>
          </w:p>
        </w:tc>
      </w:tr>
      <w:tr>
        <w:tblPrEx/>
        <w:trPr/>
        <w:tc>
          <w:tcPr>
            <w:vAlign w:val="top"/>
          </w:tcPr>
          <w:p>
            <w:pPr>
              <w:spacing w:before="0" w:after="0" w:line="275" w:lineRule="atLeast"/>
            </w:pPr>
            <w:bookmarkStart w:id="113" w:name="co_footnote_B00112082955422_1"/>
            <w:hyperlink w:anchor="co_fnRef_B00112082955422_ID0EQQAE_1">
              <w:r>
                <w:rPr>
                  <w:rFonts w:ascii="Times New Roman" w:hAnsi="Times New Roman"/>
                  <w:color w:val="006fc4"/>
                  <w:sz w:val="20"/>
                  <w:vertAlign w:val="superscript"/>
                </w:rPr>
                <w:t>11</w:t>
              </w:r>
            </w:hyperlink>
            <w:bookmarkEnd w:id="113"/>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 8, 9.</w:t>
            </w:r>
          </w:p>
        </w:tc>
      </w:tr>
      <w:tr>
        <w:tblPrEx/>
        <w:trPr/>
        <w:tc>
          <w:tcPr>
            <w:vAlign w:val="top"/>
          </w:tcPr>
          <w:p>
            <w:pPr>
              <w:spacing w:before="0" w:after="0" w:line="275" w:lineRule="atLeast"/>
            </w:pPr>
            <w:bookmarkStart w:id="114" w:name="co_footnote_B00122082955422_1"/>
            <w:hyperlink w:anchor="co_fnRef_B00122082955422_ID0E2SAE_1">
              <w:r>
                <w:rPr>
                  <w:rFonts w:ascii="Times New Roman" w:hAnsi="Times New Roman"/>
                  <w:color w:val="006fc4"/>
                  <w:sz w:val="20"/>
                  <w:vertAlign w:val="superscript"/>
                </w:rPr>
                <w:t>12</w:t>
              </w:r>
            </w:hyperlink>
            <w:bookmarkEnd w:id="114"/>
          </w:p>
        </w:tc>
        <w:tc>
          <w:tcPr>
            <w:vAlign w:val="top"/>
          </w:tcPr>
          <w:p>
            <w:pPr>
              <w:pBdr>
                <w:bottom w:val="none" w:space="8"/>
              </w:pBdr>
              <w:spacing w:before="0" w:after="0" w:line="275" w:lineRule="atLeast"/>
              <w:jc w:val="both"/>
            </w:pPr>
            <w:r>
              <w:rPr>
                <w:rFonts w:ascii="Times New Roman" w:hAnsi="Times New Roman"/>
                <w:i/>
                <w:color w:val="000000"/>
                <w:sz w:val="20"/>
              </w:rPr>
              <w:t>Commence</w:t>
            </w:r>
            <w:r>
              <w:rPr>
                <w:rFonts w:ascii="Times New Roman" w:hAnsi="Times New Roman"/>
                <w:color w:val="000000"/>
                <w:sz w:val="20"/>
              </w:rPr>
              <w:t xml:space="preserve">, Garner, Bryan A., </w:t>
            </w:r>
            <w:r>
              <w:rPr>
                <w:rFonts w:ascii="Times New Roman" w:hAnsi="Times New Roman"/>
                <w:color w:val="000000"/>
                <w:sz w:val="20"/>
              </w:rPr>
              <w:t>Garner's Modern English Usage</w:t>
            </w:r>
            <w:r>
              <w:rPr>
                <w:rFonts w:ascii="Times New Roman" w:hAnsi="Times New Roman"/>
                <w:color w:val="000000"/>
                <w:sz w:val="20"/>
              </w:rPr>
              <w:t xml:space="preserve"> 225 (5th ed. 2022); </w:t>
            </w:r>
            <w:r>
              <w:rPr>
                <w:rFonts w:ascii="Times New Roman" w:hAnsi="Times New Roman"/>
                <w:i/>
                <w:color w:val="000000"/>
                <w:sz w:val="20"/>
              </w:rPr>
              <w:t>see also</w:t>
            </w:r>
            <w:r>
              <w:rPr>
                <w:rFonts w:ascii="Times New Roman" w:hAnsi="Times New Roman"/>
                <w:color w:val="000000"/>
                <w:sz w:val="20"/>
              </w:rPr>
              <w:t xml:space="preserve"> </w:t>
            </w:r>
            <w:r>
              <w:rPr>
                <w:rFonts w:ascii="Times New Roman" w:hAnsi="Times New Roman"/>
                <w:color w:val="000000"/>
                <w:sz w:val="20"/>
              </w:rPr>
              <w:t>Webster's Ninth New Collegiate Dictionary</w:t>
            </w:r>
            <w:r>
              <w:rPr>
                <w:rFonts w:ascii="Times New Roman" w:hAnsi="Times New Roman"/>
                <w:color w:val="000000"/>
                <w:sz w:val="20"/>
              </w:rPr>
              <w:t xml:space="preserve"> 264 (1985) (“1: to have or make a beginning: START”); </w:t>
            </w:r>
            <w:r>
              <w:rPr>
                <w:rFonts w:ascii="Times New Roman" w:hAnsi="Times New Roman"/>
                <w:color w:val="000000"/>
                <w:sz w:val="20"/>
              </w:rPr>
              <w:t>Random House Dictionary of the English Language</w:t>
            </w:r>
            <w:r>
              <w:rPr>
                <w:rFonts w:ascii="Times New Roman" w:hAnsi="Times New Roman"/>
                <w:color w:val="000000"/>
                <w:sz w:val="20"/>
              </w:rPr>
              <w:t xml:space="preserve"> 295 (unabridged ed. 1966) (“to begin; start”).</w:t>
            </w:r>
          </w:p>
        </w:tc>
      </w:tr>
      <w:tr>
        <w:tblPrEx/>
        <w:trPr/>
        <w:tc>
          <w:tcPr>
            <w:vAlign w:val="top"/>
          </w:tcPr>
          <w:p>
            <w:pPr>
              <w:spacing w:before="0" w:after="0" w:line="275" w:lineRule="atLeast"/>
            </w:pPr>
            <w:bookmarkStart w:id="115" w:name="co_footnote_B00132082955422_1"/>
            <w:hyperlink w:anchor="co_fnRef_B00132082955422_ID0EOTAE_1">
              <w:r>
                <w:rPr>
                  <w:rFonts w:ascii="Times New Roman" w:hAnsi="Times New Roman"/>
                  <w:color w:val="006fc4"/>
                  <w:sz w:val="20"/>
                  <w:vertAlign w:val="superscript"/>
                </w:rPr>
                <w:t>13</w:t>
              </w:r>
            </w:hyperlink>
            <w:bookmarkEnd w:id="115"/>
          </w:p>
        </w:tc>
        <w:tc>
          <w:tcPr>
            <w:vAlign w:val="top"/>
          </w:tcPr>
          <w:p>
            <w:pPr>
              <w:pBdr>
                <w:bottom w:val="none" w:space="8"/>
              </w:pBdr>
              <w:spacing w:before="0" w:after="0" w:line="275" w:lineRule="atLeast"/>
              <w:jc w:val="both"/>
            </w:pPr>
            <w:hyperlink r:id="r53">
              <w:r>
                <w:rPr>
                  <w:rFonts w:ascii="Times New Roman" w:hAnsi="Times New Roman"/>
                  <w:color w:val="006fc4"/>
                  <w:sz w:val="20"/>
                </w:rPr>
                <w:t>Tex. R. Civ. P.</w:t>
              </w:r>
              <w:r>
                <w:rPr>
                  <w:rFonts w:ascii="Times New Roman" w:hAnsi="Times New Roman"/>
                  <w:color w:val="006fc4"/>
                  <w:sz w:val="20"/>
                </w:rPr>
                <w:t xml:space="preserve"> 22</w:t>
              </w:r>
            </w:hyperlink>
            <w:r>
              <w:rPr>
                <w:rFonts w:ascii="Times New Roman" w:hAnsi="Times New Roman"/>
                <w:color w:val="000000"/>
                <w:sz w:val="20"/>
              </w:rPr>
              <w:t xml:space="preserve"> (emphasis added).</w:t>
            </w:r>
          </w:p>
        </w:tc>
      </w:tr>
      <w:tr>
        <w:tblPrEx/>
        <w:trPr/>
        <w:tc>
          <w:tcPr>
            <w:vAlign w:val="top"/>
          </w:tcPr>
          <w:p>
            <w:pPr>
              <w:spacing w:before="0" w:after="0" w:line="275" w:lineRule="atLeast"/>
            </w:pPr>
            <w:bookmarkStart w:id="116" w:name="co_footnote_B00142082955422_1"/>
            <w:hyperlink w:anchor="co_fnRef_B00142082955422_ID0E6TAE_1">
              <w:r>
                <w:rPr>
                  <w:rFonts w:ascii="Times New Roman" w:hAnsi="Times New Roman"/>
                  <w:color w:val="006fc4"/>
                  <w:sz w:val="20"/>
                  <w:vertAlign w:val="superscript"/>
                </w:rPr>
                <w:t>14</w:t>
              </w:r>
            </w:hyperlink>
            <w:bookmarkEnd w:id="116"/>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54">
              <w:r>
                <w:rPr>
                  <w:rFonts w:ascii="Times New Roman" w:hAnsi="Times New Roman"/>
                  <w:color w:val="006fc4"/>
                  <w:sz w:val="20"/>
                </w:rPr>
                <w:t>Tex. Gov't Code</w:t>
              </w:r>
              <w:r>
                <w:rPr>
                  <w:rFonts w:ascii="Times New Roman" w:hAnsi="Times New Roman"/>
                  <w:color w:val="006fc4"/>
                  <w:sz w:val="20"/>
                </w:rPr>
                <w:t xml:space="preserve"> § 25A.006(g)</w:t>
              </w:r>
            </w:hyperlink>
            <w:r>
              <w:rPr>
                <w:rFonts w:ascii="Times New Roman" w:hAnsi="Times New Roman"/>
                <w:color w:val="000000"/>
                <w:sz w:val="20"/>
              </w:rPr>
              <w:t xml:space="preserve">; </w:t>
            </w:r>
            <w:hyperlink r:id="r55">
              <w:r>
                <w:rPr>
                  <w:rFonts w:ascii="Times New Roman" w:hAnsi="Times New Roman"/>
                  <w:color w:val="006fc4"/>
                  <w:sz w:val="20"/>
                </w:rPr>
                <w:t>Tex. R. Civ. P.</w:t>
              </w:r>
              <w:r>
                <w:rPr>
                  <w:rFonts w:ascii="Times New Roman" w:hAnsi="Times New Roman"/>
                  <w:color w:val="006fc4"/>
                  <w:sz w:val="20"/>
                </w:rPr>
                <w:t xml:space="preserve"> 355(e)</w:t>
              </w:r>
            </w:hyperlink>
            <w:r>
              <w:rPr>
                <w:rFonts w:ascii="Times New Roman" w:hAnsi="Times New Roman"/>
                <w:color w:val="000000"/>
                <w:sz w:val="20"/>
              </w:rPr>
              <w:t>.</w:t>
            </w:r>
          </w:p>
        </w:tc>
      </w:tr>
      <w:tr>
        <w:tblPrEx/>
        <w:trPr/>
        <w:tc>
          <w:tcPr>
            <w:vAlign w:val="top"/>
          </w:tcPr>
          <w:p>
            <w:pPr>
              <w:spacing w:before="0" w:after="0" w:line="275" w:lineRule="atLeast"/>
            </w:pPr>
            <w:bookmarkStart w:id="117" w:name="co_footnote_B00152082955422_1"/>
            <w:hyperlink w:anchor="co_fnRef_B00152082955422_ID0E1XAE_1">
              <w:r>
                <w:rPr>
                  <w:rFonts w:ascii="Times New Roman" w:hAnsi="Times New Roman"/>
                  <w:color w:val="006fc4"/>
                  <w:sz w:val="20"/>
                  <w:vertAlign w:val="superscript"/>
                </w:rPr>
                <w:t>15</w:t>
              </w:r>
            </w:hyperlink>
            <w:bookmarkEnd w:id="117"/>
          </w:p>
        </w:tc>
        <w:tc>
          <w:tcPr>
            <w:vAlign w:val="top"/>
          </w:tcPr>
          <w:p>
            <w:pPr>
              <w:pBdr>
                <w:bottom w:val="none" w:space="8"/>
              </w:pBdr>
              <w:spacing w:before="0" w:after="0" w:line="275" w:lineRule="atLeast"/>
              <w:jc w:val="both"/>
            </w:pPr>
            <w:r>
              <w:rPr>
                <w:rFonts w:ascii="Times New Roman" w:hAnsi="Times New Roman"/>
                <w:i/>
                <w:color w:val="000000"/>
                <w:sz w:val="20"/>
              </w:rPr>
              <w:t>File</w:t>
            </w:r>
            <w:r>
              <w:rPr>
                <w:rFonts w:ascii="Times New Roman" w:hAnsi="Times New Roman"/>
                <w:color w:val="000000"/>
                <w:sz w:val="20"/>
              </w:rPr>
              <w:t xml:space="preserve">, </w:t>
            </w:r>
            <w:r>
              <w:rPr>
                <w:rFonts w:ascii="Times New Roman" w:hAnsi="Times New Roman"/>
                <w:color w:val="000000"/>
                <w:sz w:val="20"/>
              </w:rPr>
              <w:t>Black's Law Dictionary</w:t>
            </w:r>
            <w:r>
              <w:rPr>
                <w:rFonts w:ascii="Times New Roman" w:hAnsi="Times New Roman"/>
                <w:color w:val="000000"/>
                <w:sz w:val="20"/>
              </w:rPr>
              <w:t xml:space="preserve"> 768 (12th ed. 2024).</w:t>
            </w:r>
          </w:p>
        </w:tc>
      </w:tr>
      <w:tr>
        <w:tblPrEx/>
        <w:trPr/>
        <w:tc>
          <w:tcPr>
            <w:vAlign w:val="top"/>
          </w:tcPr>
          <w:p>
            <w:pPr>
              <w:spacing w:before="0" w:after="0" w:line="275" w:lineRule="atLeast"/>
            </w:pPr>
            <w:bookmarkStart w:id="118" w:name="co_footnote_B00162082955422_1"/>
            <w:hyperlink w:anchor="co_fnRef_B00162082955422_ID0E5YAE_1">
              <w:r>
                <w:rPr>
                  <w:rFonts w:ascii="Times New Roman" w:hAnsi="Times New Roman"/>
                  <w:color w:val="006fc4"/>
                  <w:sz w:val="20"/>
                  <w:vertAlign w:val="superscript"/>
                </w:rPr>
                <w:t>16</w:t>
              </w:r>
            </w:hyperlink>
            <w:bookmarkEnd w:id="118"/>
          </w:p>
        </w:tc>
        <w:tc>
          <w:tcPr>
            <w:vAlign w:val="top"/>
          </w:tcPr>
          <w:p>
            <w:pPr>
              <w:pBdr>
                <w:bottom w:val="none" w:space="8"/>
              </w:pBdr>
              <w:spacing w:before="0" w:after="0" w:line="275" w:lineRule="atLeast"/>
              <w:jc w:val="both"/>
            </w:pPr>
            <w:r>
              <w:rPr>
                <w:rFonts w:ascii="Times New Roman" w:hAnsi="Times New Roman"/>
                <w:i/>
                <w:color w:val="000000"/>
                <w:sz w:val="20"/>
              </w:rPr>
              <w:t>See, e.g.</w:t>
            </w:r>
            <w:r>
              <w:rPr>
                <w:rFonts w:ascii="Times New Roman" w:hAnsi="Times New Roman"/>
                <w:color w:val="000000"/>
                <w:sz w:val="20"/>
              </w:rPr>
              <w:t xml:space="preserve">, </w:t>
            </w:r>
            <w:hyperlink r:id="r56">
              <w:r>
                <w:rPr>
                  <w:rFonts w:ascii="Times New Roman" w:hAnsi="Times New Roman"/>
                  <w:color w:val="006fc4"/>
                  <w:sz w:val="20"/>
                </w:rPr>
                <w:t>Tex. Gov't Code</w:t>
              </w:r>
              <w:r>
                <w:rPr>
                  <w:rFonts w:ascii="Times New Roman" w:hAnsi="Times New Roman"/>
                  <w:color w:val="006fc4"/>
                  <w:sz w:val="20"/>
                </w:rPr>
                <w:t xml:space="preserve"> § 25A.006(a)</w:t>
              </w:r>
            </w:hyperlink>
            <w:r>
              <w:rPr>
                <w:rFonts w:ascii="Times New Roman" w:hAnsi="Times New Roman"/>
                <w:color w:val="000000"/>
                <w:sz w:val="20"/>
              </w:rPr>
              <w:t xml:space="preserve">, </w:t>
            </w:r>
            <w:hyperlink r:id="r57">
              <w:r>
                <w:rPr>
                  <w:rFonts w:ascii="Times New Roman" w:hAnsi="Times New Roman"/>
                  <w:color w:val="006fc4"/>
                  <w:sz w:val="20"/>
                </w:rPr>
                <w:t>(d)</w:t>
              </w:r>
            </w:hyperlink>
            <w:r>
              <w:rPr>
                <w:rFonts w:ascii="Times New Roman" w:hAnsi="Times New Roman"/>
                <w:color w:val="000000"/>
                <w:sz w:val="20"/>
              </w:rPr>
              <w:t>–</w:t>
            </w:r>
            <w:hyperlink r:id="r58">
              <w:r>
                <w:rPr>
                  <w:rFonts w:ascii="Times New Roman" w:hAnsi="Times New Roman"/>
                  <w:color w:val="006fc4"/>
                  <w:sz w:val="20"/>
                </w:rPr>
                <w:t>(g)</w:t>
              </w:r>
            </w:hyperlink>
            <w:r>
              <w:rPr>
                <w:rFonts w:ascii="Times New Roman" w:hAnsi="Times New Roman"/>
                <w:color w:val="000000"/>
                <w:sz w:val="20"/>
              </w:rPr>
              <w:t>.</w:t>
            </w:r>
          </w:p>
        </w:tc>
      </w:tr>
      <w:tr>
        <w:tblPrEx/>
        <w:trPr/>
        <w:tc>
          <w:tcPr>
            <w:vAlign w:val="top"/>
          </w:tcPr>
          <w:p>
            <w:pPr>
              <w:spacing w:before="0" w:after="0" w:line="275" w:lineRule="atLeast"/>
            </w:pPr>
            <w:bookmarkStart w:id="119" w:name="co_footnote_B00172082955422_1"/>
            <w:hyperlink w:anchor="co_fnRef_B00172082955422_ID0EF4AE_1">
              <w:r>
                <w:rPr>
                  <w:rFonts w:ascii="Times New Roman" w:hAnsi="Times New Roman"/>
                  <w:color w:val="006fc4"/>
                  <w:sz w:val="20"/>
                  <w:vertAlign w:val="superscript"/>
                </w:rPr>
                <w:t>17</w:t>
              </w:r>
            </w:hyperlink>
            <w:bookmarkEnd w:id="119"/>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 25A.006(g).</w:t>
            </w:r>
          </w:p>
        </w:tc>
      </w:tr>
      <w:tr>
        <w:tblPrEx/>
        <w:trPr/>
        <w:tc>
          <w:tcPr>
            <w:vAlign w:val="top"/>
          </w:tcPr>
          <w:p>
            <w:pPr>
              <w:spacing w:before="0" w:after="0" w:line="275" w:lineRule="atLeast"/>
            </w:pPr>
            <w:bookmarkStart w:id="120" w:name="co_footnote_B00182082955422_1"/>
            <w:hyperlink w:anchor="co_fnRef_B00182082955422_ID0E45AE_1">
              <w:r>
                <w:rPr>
                  <w:rFonts w:ascii="Times New Roman" w:hAnsi="Times New Roman"/>
                  <w:color w:val="006fc4"/>
                  <w:sz w:val="20"/>
                  <w:vertAlign w:val="superscript"/>
                </w:rPr>
                <w:t>18</w:t>
              </w:r>
            </w:hyperlink>
            <w:bookmarkEnd w:id="120"/>
          </w:p>
        </w:tc>
        <w:tc>
          <w:tcPr>
            <w:vAlign w:val="top"/>
          </w:tcPr>
          <w:p>
            <w:pPr>
              <w:pBdr>
                <w:bottom w:val="none" w:space="8"/>
              </w:pBdr>
              <w:spacing w:before="0" w:after="0" w:line="275" w:lineRule="atLeast"/>
              <w:jc w:val="both"/>
            </w:pPr>
            <w:r>
              <w:rPr>
                <w:rFonts w:ascii="Times New Roman" w:hAnsi="Times New Roman"/>
                <w:i/>
                <w:color w:val="000000"/>
                <w:sz w:val="20"/>
              </w:rPr>
              <w:t>See, e.g.,</w:t>
            </w:r>
            <w:r>
              <w:rPr>
                <w:rFonts w:ascii="Times New Roman" w:hAnsi="Times New Roman"/>
                <w:color w:val="000000"/>
                <w:sz w:val="20"/>
              </w:rPr>
              <w:t xml:space="preserve"> </w:t>
            </w:r>
            <w:hyperlink r:id="r59">
              <w:r>
                <w:rPr>
                  <w:rFonts w:ascii="Times New Roman" w:hAnsi="Times New Roman"/>
                  <w:i/>
                  <w:color w:val="006fc4"/>
                  <w:sz w:val="20"/>
                </w:rPr>
                <w:t>In re Cont'l Airlines, Inc.</w:t>
              </w:r>
              <w:r>
                <w:rPr>
                  <w:rFonts w:ascii="Times New Roman" w:hAnsi="Times New Roman"/>
                  <w:color w:val="006fc4"/>
                  <w:sz w:val="20"/>
                </w:rPr>
                <w:t>, 988 S.W.2d 733, 735 (Tex. 1998)</w:t>
              </w:r>
            </w:hyperlink>
            <w:r>
              <w:rPr>
                <w:rFonts w:ascii="Times New Roman" w:hAnsi="Times New Roman"/>
                <w:color w:val="000000"/>
                <w:sz w:val="20"/>
              </w:rPr>
              <w:t>.</w:t>
            </w:r>
          </w:p>
        </w:tc>
      </w:tr>
      <w:tr>
        <w:tblPrEx/>
        <w:trPr/>
        <w:tc>
          <w:tcPr>
            <w:vAlign w:val="top"/>
          </w:tcPr>
          <w:p>
            <w:pPr>
              <w:spacing w:before="0" w:after="0" w:line="275" w:lineRule="atLeast"/>
            </w:pPr>
            <w:bookmarkStart w:id="121" w:name="co_footnote_B00192082955422_1"/>
            <w:hyperlink w:anchor="co_fnRef_B00192082955422_ID0EEBAG_1">
              <w:r>
                <w:rPr>
                  <w:rFonts w:ascii="Times New Roman" w:hAnsi="Times New Roman"/>
                  <w:color w:val="006fc4"/>
                  <w:sz w:val="20"/>
                  <w:vertAlign w:val="superscript"/>
                </w:rPr>
                <w:t>19</w:t>
              </w:r>
            </w:hyperlink>
            <w:bookmarkEnd w:id="121"/>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60">
              <w:r>
                <w:rPr>
                  <w:rFonts w:ascii="Times New Roman" w:hAnsi="Times New Roman"/>
                  <w:i/>
                  <w:color w:val="006fc4"/>
                  <w:sz w:val="20"/>
                </w:rPr>
                <w:t>Morath v. Lewis</w:t>
              </w:r>
              <w:r>
                <w:rPr>
                  <w:rFonts w:ascii="Times New Roman" w:hAnsi="Times New Roman"/>
                  <w:color w:val="006fc4"/>
                  <w:sz w:val="20"/>
                </w:rPr>
                <w:t>, 601 S.W.3d 785, 787 (Tex. 2020)</w:t>
              </w:r>
            </w:hyperlink>
            <w:r>
              <w:rPr>
                <w:rFonts w:ascii="Times New Roman" w:hAnsi="Times New Roman"/>
                <w:color w:val="000000"/>
                <w:sz w:val="20"/>
              </w:rPr>
              <w:t>.</w:t>
            </w:r>
          </w:p>
        </w:tc>
      </w:tr>
      <w:tr>
        <w:tblPrEx/>
        <w:trPr/>
        <w:tc>
          <w:tcPr>
            <w:vAlign w:val="top"/>
          </w:tcPr>
          <w:p>
            <w:pPr>
              <w:spacing w:before="0" w:after="0" w:line="275" w:lineRule="atLeast"/>
            </w:pPr>
            <w:bookmarkStart w:id="122" w:name="co_footnote_B00202082955422_1"/>
            <w:hyperlink w:anchor="co_fnRef_B00202082955422_ID0EOBAG_1">
              <w:r>
                <w:rPr>
                  <w:rFonts w:ascii="Times New Roman" w:hAnsi="Times New Roman"/>
                  <w:color w:val="006fc4"/>
                  <w:sz w:val="20"/>
                  <w:vertAlign w:val="superscript"/>
                </w:rPr>
                <w:t>20</w:t>
              </w:r>
            </w:hyperlink>
            <w:bookmarkEnd w:id="122"/>
          </w:p>
        </w:tc>
        <w:tc>
          <w:tcPr>
            <w:vAlign w:val="top"/>
          </w:tcPr>
          <w:p>
            <w:pPr>
              <w:pBdr>
                <w:bottom w:val="none" w:space="8"/>
              </w:pBdr>
              <w:spacing w:before="0" w:after="0" w:line="275" w:lineRule="atLeast"/>
              <w:jc w:val="both"/>
            </w:pPr>
            <w:r>
              <w:rPr>
                <w:rFonts w:ascii="Times New Roman" w:hAnsi="Times New Roman"/>
                <w:color w:val="000000"/>
                <w:sz w:val="20"/>
              </w:rPr>
              <w:t xml:space="preserve">The general tolling provision would not apply to such actions since it is limited to cases dismissed “because of lack of jurisdiction in the trial court where the action was first filed.” </w:t>
            </w:r>
            <w:hyperlink r:id="r61">
              <w:r>
                <w:rPr>
                  <w:rFonts w:ascii="Times New Roman" w:hAnsi="Times New Roman"/>
                  <w:color w:val="006fc4"/>
                  <w:sz w:val="20"/>
                </w:rPr>
                <w:t>Tex. Civ. Prac.</w:t>
              </w:r>
              <w:r>
                <w:rPr>
                  <w:rFonts w:ascii="Times New Roman" w:hAnsi="Times New Roman"/>
                  <w:color w:val="006fc4"/>
                  <w:sz w:val="20"/>
                </w:rPr>
                <w:t xml:space="preserve"> &amp; </w:t>
              </w:r>
              <w:r>
                <w:rPr>
                  <w:rFonts w:ascii="Times New Roman" w:hAnsi="Times New Roman"/>
                  <w:color w:val="006fc4"/>
                  <w:sz w:val="20"/>
                </w:rPr>
                <w:t>Rem. Code</w:t>
              </w:r>
              <w:r>
                <w:rPr>
                  <w:rFonts w:ascii="Times New Roman" w:hAnsi="Times New Roman"/>
                  <w:color w:val="006fc4"/>
                  <w:sz w:val="20"/>
                </w:rPr>
                <w:t xml:space="preserve"> § 16.064(a)(1)</w:t>
              </w:r>
            </w:hyperlink>
            <w:r>
              <w:rPr>
                <w:rFonts w:ascii="Times New Roman" w:hAnsi="Times New Roman"/>
                <w:color w:val="000000"/>
                <w:sz w:val="20"/>
              </w:rPr>
              <w:t xml:space="preserve">. But a similar tolling provision applies to timely filed actions dismissed by the business court. </w:t>
            </w:r>
            <w:r>
              <w:rPr>
                <w:rFonts w:ascii="Times New Roman" w:hAnsi="Times New Roman"/>
                <w:i/>
                <w:color w:val="000000"/>
                <w:sz w:val="20"/>
              </w:rPr>
              <w:t>See</w:t>
            </w:r>
            <w:r>
              <w:rPr>
                <w:rFonts w:ascii="Times New Roman" w:hAnsi="Times New Roman"/>
                <w:color w:val="000000"/>
                <w:sz w:val="20"/>
              </w:rPr>
              <w:t xml:space="preserve"> </w:t>
            </w:r>
            <w:hyperlink r:id="r62">
              <w:r>
                <w:rPr>
                  <w:rFonts w:ascii="Times New Roman" w:hAnsi="Times New Roman"/>
                  <w:color w:val="006fc4"/>
                  <w:sz w:val="20"/>
                </w:rPr>
                <w:t>Tex. R. Civ. P.</w:t>
              </w:r>
              <w:r>
                <w:rPr>
                  <w:rFonts w:ascii="Times New Roman" w:hAnsi="Times New Roman"/>
                  <w:color w:val="006fc4"/>
                  <w:sz w:val="20"/>
                </w:rPr>
                <w:t xml:space="preserve"> 357</w:t>
              </w:r>
            </w:hyperlink>
            <w:r>
              <w:rPr>
                <w:rFonts w:ascii="Times New Roman" w:hAnsi="Times New Roman"/>
                <w:color w:val="000000"/>
                <w:sz w:val="20"/>
              </w:rPr>
              <w:t xml:space="preserve"> (“If the business court dismisses an action or claim and the same action or claim is filed in a different court within 60 days after the dismissal becomes final, the applicable statute of limitations is suspended for the period between the filings.”).</w:t>
            </w:r>
          </w:p>
        </w:tc>
      </w:tr>
      <w:tr>
        <w:tblPrEx/>
        <w:trPr/>
        <w:tc>
          <w:tcPr>
            <w:vAlign w:val="top"/>
          </w:tcPr>
          <w:p>
            <w:pPr>
              <w:spacing w:before="0" w:after="0" w:line="275" w:lineRule="atLeast"/>
            </w:pPr>
            <w:bookmarkStart w:id="123" w:name="co_footnote_B00212082955422_1"/>
            <w:hyperlink w:anchor="co_fnRef_B00212082955422_ID0EVEAG_1">
              <w:r>
                <w:rPr>
                  <w:rFonts w:ascii="Times New Roman" w:hAnsi="Times New Roman"/>
                  <w:color w:val="006fc4"/>
                  <w:sz w:val="20"/>
                  <w:vertAlign w:val="superscript"/>
                </w:rPr>
                <w:t>21</w:t>
              </w:r>
            </w:hyperlink>
            <w:bookmarkEnd w:id="123"/>
          </w:p>
        </w:tc>
        <w:tc>
          <w:tcPr>
            <w:vAlign w:val="top"/>
          </w:tcPr>
          <w:p>
            <w:pPr>
              <w:pBdr>
                <w:bottom w:val="none" w:space="8"/>
              </w:pBdr>
              <w:spacing w:before="0" w:after="0" w:line="275" w:lineRule="atLeast"/>
              <w:jc w:val="both"/>
            </w:pPr>
            <w:r>
              <w:rPr>
                <w:rFonts w:ascii="Times New Roman" w:hAnsi="Times New Roman"/>
                <w:i/>
                <w:color w:val="000000"/>
                <w:sz w:val="20"/>
              </w:rPr>
              <w:t>See, e.g.</w:t>
            </w:r>
            <w:r>
              <w:rPr>
                <w:rFonts w:ascii="Times New Roman" w:hAnsi="Times New Roman"/>
                <w:color w:val="000000"/>
                <w:sz w:val="20"/>
              </w:rPr>
              <w:t xml:space="preserve">, Act of June 17, 2011, 82nd Leg., R.S., ch. 341, § 3, 2011 Gen. Laws 961, 964 (adopting TCPA); Act of May 28, 2021, 87th Leg., R.S., ch. 665, § 2, 2021 Tex. Gen. Laws 1391, 1391 (amending </w:t>
            </w:r>
            <w:hyperlink r:id="r63">
              <w:r>
                <w:rPr>
                  <w:rFonts w:ascii="Times New Roman" w:hAnsi="Times New Roman"/>
                  <w:color w:val="006fc4"/>
                  <w:sz w:val="20"/>
                </w:rPr>
                <w:t>Tex. Civ. Prac.</w:t>
              </w:r>
              <w:r>
                <w:rPr>
                  <w:rFonts w:ascii="Times New Roman" w:hAnsi="Times New Roman"/>
                  <w:color w:val="006fc4"/>
                  <w:sz w:val="20"/>
                </w:rPr>
                <w:t xml:space="preserve"> &amp; </w:t>
              </w:r>
              <w:r>
                <w:rPr>
                  <w:rFonts w:ascii="Times New Roman" w:hAnsi="Times New Roman"/>
                  <w:color w:val="006fc4"/>
                  <w:sz w:val="20"/>
                </w:rPr>
                <w:t>Rem. Code</w:t>
              </w:r>
              <w:r>
                <w:rPr>
                  <w:rFonts w:ascii="Times New Roman" w:hAnsi="Times New Roman"/>
                  <w:color w:val="006fc4"/>
                  <w:sz w:val="20"/>
                </w:rPr>
                <w:t xml:space="preserve"> § 38.001</w:t>
              </w:r>
            </w:hyperlink>
            <w:r>
              <w:rPr>
                <w:rFonts w:ascii="Times New Roman" w:hAnsi="Times New Roman"/>
                <w:color w:val="000000"/>
                <w:sz w:val="20"/>
              </w:rPr>
              <w:t>).</w:t>
            </w:r>
          </w:p>
        </w:tc>
      </w:tr>
      <w:tr>
        <w:tblPrEx/>
        <w:trPr/>
        <w:tc>
          <w:tcPr>
            <w:vAlign w:val="top"/>
          </w:tcPr>
          <w:p>
            <w:pPr>
              <w:spacing w:before="0" w:after="0" w:line="275" w:lineRule="atLeast"/>
            </w:pPr>
            <w:bookmarkStart w:id="124" w:name="co_footnote_B00222082955422_1"/>
            <w:hyperlink w:anchor="co_fnRef_B00222082955422_ID0EJFAG_1">
              <w:r>
                <w:rPr>
                  <w:rFonts w:ascii="Times New Roman" w:hAnsi="Times New Roman"/>
                  <w:color w:val="006fc4"/>
                  <w:sz w:val="20"/>
                  <w:vertAlign w:val="superscript"/>
                </w:rPr>
                <w:t>22</w:t>
              </w:r>
            </w:hyperlink>
            <w:bookmarkEnd w:id="124"/>
          </w:p>
        </w:tc>
        <w:tc>
          <w:tcPr>
            <w:vAlign w:val="top"/>
          </w:tcPr>
          <w:p>
            <w:pPr>
              <w:pBdr>
                <w:bottom w:val="none" w:space="8"/>
              </w:pBdr>
              <w:spacing w:before="0" w:after="0" w:line="275" w:lineRule="atLeast"/>
              <w:jc w:val="both"/>
            </w:pPr>
            <w:hyperlink r:id="r64">
              <w:r>
                <w:rPr>
                  <w:rFonts w:ascii="Times New Roman" w:hAnsi="Times New Roman"/>
                  <w:i/>
                  <w:color w:val="006fc4"/>
                  <w:sz w:val="20"/>
                </w:rPr>
                <w:t>City of San Antonio v. Hartman</w:t>
              </w:r>
              <w:r>
                <w:rPr>
                  <w:rFonts w:ascii="Times New Roman" w:hAnsi="Times New Roman"/>
                  <w:color w:val="006fc4"/>
                  <w:sz w:val="20"/>
                </w:rPr>
                <w:t>, 201 S.W.3d 667, 673 (Tex. 2006)</w:t>
              </w:r>
            </w:hyperlink>
            <w:r>
              <w:rPr>
                <w:rFonts w:ascii="Times New Roman" w:hAnsi="Times New Roman"/>
                <w:color w:val="000000"/>
                <w:sz w:val="20"/>
              </w:rPr>
              <w:t>.</w:t>
            </w:r>
          </w:p>
        </w:tc>
      </w:tr>
      <w:tr>
        <w:tblPrEx/>
        <w:trPr/>
        <w:tc>
          <w:tcPr>
            <w:vAlign w:val="top"/>
          </w:tcPr>
          <w:p>
            <w:pPr>
              <w:spacing w:before="0" w:after="0" w:line="275" w:lineRule="atLeast"/>
            </w:pPr>
            <w:bookmarkStart w:id="125" w:name="co_footnote_B00232082955422_1"/>
            <w:hyperlink w:anchor="co_fnRef_B00232082955422_ID0EYFAG_1">
              <w:r>
                <w:rPr>
                  <w:rFonts w:ascii="Times New Roman" w:hAnsi="Times New Roman"/>
                  <w:color w:val="006fc4"/>
                  <w:sz w:val="20"/>
                  <w:vertAlign w:val="superscript"/>
                </w:rPr>
                <w:t>23</w:t>
              </w:r>
            </w:hyperlink>
            <w:bookmarkEnd w:id="125"/>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65">
              <w:r>
                <w:rPr>
                  <w:rFonts w:ascii="Times New Roman" w:hAnsi="Times New Roman"/>
                  <w:i/>
                  <w:color w:val="006fc4"/>
                  <w:sz w:val="20"/>
                </w:rPr>
                <w:t>Barr v. Bernhard</w:t>
              </w:r>
              <w:r>
                <w:rPr>
                  <w:rFonts w:ascii="Times New Roman" w:hAnsi="Times New Roman"/>
                  <w:color w:val="006fc4"/>
                  <w:sz w:val="20"/>
                </w:rPr>
                <w:t>, 562 S.W.2d 844, 849 (Tex. 1978)</w:t>
              </w:r>
            </w:hyperlink>
            <w:r>
              <w:rPr>
                <w:rFonts w:ascii="Times New Roman" w:hAnsi="Times New Roman"/>
                <w:color w:val="000000"/>
                <w:sz w:val="20"/>
              </w:rPr>
              <w:t xml:space="preserve"> (“[T]he Legislature did not intend to do a useless thing by putting a meaningless provision in a statute.”).</w:t>
            </w:r>
          </w:p>
        </w:tc>
      </w:tr>
      <w:tr>
        <w:tblPrEx/>
        <w:trPr/>
        <w:tc>
          <w:tcPr>
            <w:vAlign w:val="top"/>
          </w:tcPr>
          <w:p>
            <w:pPr>
              <w:spacing w:before="0" w:after="0" w:line="275" w:lineRule="atLeast"/>
            </w:pPr>
            <w:bookmarkStart w:id="126" w:name="co_footnote_B00242082955422_1"/>
            <w:hyperlink w:anchor="co_fnRef_B00242082955422_ID0EXJAG_1">
              <w:r>
                <w:rPr>
                  <w:rFonts w:ascii="Times New Roman" w:hAnsi="Times New Roman"/>
                  <w:color w:val="006fc4"/>
                  <w:sz w:val="20"/>
                  <w:vertAlign w:val="superscript"/>
                </w:rPr>
                <w:t>24</w:t>
              </w:r>
            </w:hyperlink>
            <w:bookmarkEnd w:id="126"/>
          </w:p>
        </w:tc>
        <w:tc>
          <w:tcPr>
            <w:vAlign w:val="top"/>
          </w:tcPr>
          <w:p>
            <w:pPr>
              <w:pBdr>
                <w:bottom w:val="none" w:space="8"/>
              </w:pBdr>
              <w:spacing w:before="0" w:after="0" w:line="275" w:lineRule="atLeast"/>
              <w:jc w:val="both"/>
            </w:pPr>
            <w:r>
              <w:rPr>
                <w:rFonts w:ascii="Times New Roman" w:hAnsi="Times New Roman"/>
                <w:i/>
                <w:color w:val="000000"/>
                <w:sz w:val="20"/>
              </w:rPr>
              <w:t>E.g.,</w:t>
            </w:r>
            <w:r>
              <w:rPr>
                <w:rFonts w:ascii="Times New Roman" w:hAnsi="Times New Roman"/>
                <w:color w:val="000000"/>
                <w:sz w:val="20"/>
              </w:rPr>
              <w:t xml:space="preserve"> </w:t>
            </w:r>
            <w:hyperlink r:id="r66">
              <w:r>
                <w:rPr>
                  <w:rFonts w:ascii="Times New Roman" w:hAnsi="Times New Roman"/>
                  <w:i/>
                  <w:color w:val="006fc4"/>
                  <w:sz w:val="20"/>
                </w:rPr>
                <w:t>In re Palacios</w:t>
              </w:r>
              <w:r>
                <w:rPr>
                  <w:rFonts w:ascii="Times New Roman" w:hAnsi="Times New Roman"/>
                  <w:color w:val="006fc4"/>
                  <w:sz w:val="20"/>
                </w:rPr>
                <w:t>, 221 S.W.3d 564, 566 (Tex. 2006)</w:t>
              </w:r>
            </w:hyperlink>
            <w:r>
              <w:rPr>
                <w:rFonts w:ascii="Times New Roman" w:hAnsi="Times New Roman"/>
                <w:color w:val="000000"/>
                <w:sz w:val="20"/>
              </w:rPr>
              <w:t>.</w:t>
            </w:r>
          </w:p>
        </w:tc>
      </w:tr>
      <w:tr>
        <w:tblPrEx/>
        <w:trPr/>
        <w:tc>
          <w:tcPr>
            <w:vAlign w:val="top"/>
          </w:tcPr>
          <w:p>
            <w:pPr>
              <w:spacing w:before="0" w:after="0" w:line="275" w:lineRule="atLeast"/>
            </w:pPr>
            <w:bookmarkStart w:id="127" w:name="co_footnote_B00252082955422_1"/>
            <w:hyperlink w:anchor="co_fnRef_B00252082955422_ID0EMKAG_1">
              <w:r>
                <w:rPr>
                  <w:rFonts w:ascii="Times New Roman" w:hAnsi="Times New Roman"/>
                  <w:color w:val="006fc4"/>
                  <w:sz w:val="20"/>
                  <w:vertAlign w:val="superscript"/>
                </w:rPr>
                <w:t>25</w:t>
              </w:r>
            </w:hyperlink>
            <w:bookmarkEnd w:id="127"/>
          </w:p>
        </w:tc>
        <w:tc>
          <w:tcPr>
            <w:vAlign w:val="top"/>
          </w:tcPr>
          <w:p>
            <w:pPr>
              <w:pBdr>
                <w:bottom w:val="none" w:space="8"/>
              </w:pBdr>
              <w:spacing w:before="0" w:after="0" w:line="275" w:lineRule="atLeast"/>
              <w:jc w:val="both"/>
            </w:pPr>
            <w:hyperlink r:id="r67">
              <w:r>
                <w:rPr>
                  <w:rFonts w:ascii="Times New Roman" w:hAnsi="Times New Roman"/>
                  <w:i/>
                  <w:color w:val="006fc4"/>
                  <w:sz w:val="20"/>
                </w:rPr>
                <w:t>Tex. Comm'n on Envtl. Quality v. Maverick Cnty.</w:t>
              </w:r>
              <w:r>
                <w:rPr>
                  <w:rFonts w:ascii="Times New Roman" w:hAnsi="Times New Roman"/>
                  <w:color w:val="006fc4"/>
                  <w:sz w:val="20"/>
                </w:rPr>
                <w:t>, 642 S.W.3d 537, 549–50 (Tex. 2022)</w:t>
              </w:r>
            </w:hyperlink>
            <w:r>
              <w:rPr>
                <w:rFonts w:ascii="Times New Roman" w:hAnsi="Times New Roman"/>
                <w:color w:val="000000"/>
                <w:sz w:val="20"/>
              </w:rPr>
              <w:t xml:space="preserve"> (holding opinion addressing alternative ground is not an advisory); </w:t>
            </w:r>
            <w:r>
              <w:rPr>
                <w:rFonts w:ascii="Times New Roman" w:hAnsi="Times New Roman"/>
                <w:i/>
                <w:color w:val="000000"/>
                <w:sz w:val="20"/>
              </w:rPr>
              <w:t>see also</w:t>
            </w:r>
            <w:r>
              <w:rPr>
                <w:rFonts w:ascii="Times New Roman" w:hAnsi="Times New Roman"/>
                <w:color w:val="000000"/>
                <w:sz w:val="20"/>
              </w:rPr>
              <w:t xml:space="preserve"> </w:t>
            </w:r>
            <w:hyperlink r:id="r68">
              <w:r>
                <w:rPr>
                  <w:rFonts w:ascii="Times New Roman" w:hAnsi="Times New Roman"/>
                  <w:i/>
                  <w:color w:val="006fc4"/>
                  <w:sz w:val="20"/>
                </w:rPr>
                <w:t>Point Energy Partners Permian, LLC v. MRC Permian Co.</w:t>
              </w:r>
              <w:r>
                <w:rPr>
                  <w:rFonts w:ascii="Times New Roman" w:hAnsi="Times New Roman"/>
                  <w:color w:val="006fc4"/>
                  <w:sz w:val="20"/>
                </w:rPr>
                <w:t>, 669 S.W.3d 796, 812 (Tex. 2023)</w:t>
              </w:r>
            </w:hyperlink>
            <w:r>
              <w:rPr>
                <w:rFonts w:ascii="Times New Roman" w:hAnsi="Times New Roman"/>
                <w:color w:val="000000"/>
                <w:sz w:val="20"/>
              </w:rPr>
              <w:t xml:space="preserve"> (same); </w:t>
            </w:r>
            <w:hyperlink r:id="r69">
              <w:r>
                <w:rPr>
                  <w:rFonts w:ascii="Times New Roman" w:hAnsi="Times New Roman"/>
                  <w:i/>
                  <w:color w:val="006fc4"/>
                  <w:sz w:val="20"/>
                </w:rPr>
                <w:t>Cincinnati Life Ins. Co. v. Cates</w:t>
              </w:r>
              <w:r>
                <w:rPr>
                  <w:rFonts w:ascii="Times New Roman" w:hAnsi="Times New Roman"/>
                  <w:color w:val="006fc4"/>
                  <w:sz w:val="20"/>
                </w:rPr>
                <w:t>, 927 S.W.2d 623, 625 (Tex. 1996)</w:t>
              </w:r>
            </w:hyperlink>
            <w:r>
              <w:rPr>
                <w:rFonts w:ascii="Times New Roman" w:hAnsi="Times New Roman"/>
                <w:color w:val="000000"/>
                <w:sz w:val="20"/>
              </w:rPr>
              <w:t xml:space="preserve"> (“We conclude that the court of appeals should consider all grounds that the trial court rules on and may consider grounds that the trial court does not rule on in the interest of judicial economy.”).</w:t>
            </w:r>
          </w:p>
        </w:tc>
      </w:tr>
      <w:tr>
        <w:tblPrEx/>
        <w:trPr/>
        <w:tc>
          <w:tcPr>
            <w:vAlign w:val="top"/>
          </w:tcPr>
          <w:p>
            <w:pPr>
              <w:spacing w:before="0" w:after="0" w:line="275" w:lineRule="atLeast"/>
            </w:pPr>
            <w:bookmarkStart w:id="128" w:name="co_footnote_B00262082955422_1"/>
            <w:hyperlink w:anchor="co_fnRef_B00262082955422_ID0EJOAG_1">
              <w:r>
                <w:rPr>
                  <w:rFonts w:ascii="Times New Roman" w:hAnsi="Times New Roman"/>
                  <w:color w:val="006fc4"/>
                  <w:sz w:val="20"/>
                  <w:vertAlign w:val="superscript"/>
                </w:rPr>
                <w:t>26</w:t>
              </w:r>
            </w:hyperlink>
            <w:bookmarkEnd w:id="128"/>
          </w:p>
        </w:tc>
        <w:tc>
          <w:tcPr>
            <w:vAlign w:val="top"/>
          </w:tcPr>
          <w:p>
            <w:pPr>
              <w:pBdr>
                <w:bottom w:val="none" w:space="8"/>
              </w:pBdr>
              <w:spacing w:before="0" w:after="0" w:line="275" w:lineRule="atLeast"/>
              <w:jc w:val="both"/>
            </w:pPr>
            <w:hyperlink r:id="r70">
              <w:r>
                <w:rPr>
                  <w:rFonts w:ascii="Times New Roman" w:hAnsi="Times New Roman"/>
                  <w:i/>
                  <w:color w:val="006fc4"/>
                  <w:sz w:val="20"/>
                </w:rPr>
                <w:t>In re Gulf Expl., LLC</w:t>
              </w:r>
              <w:r>
                <w:rPr>
                  <w:rFonts w:ascii="Times New Roman" w:hAnsi="Times New Roman"/>
                  <w:color w:val="006fc4"/>
                  <w:sz w:val="20"/>
                </w:rPr>
                <w:t>, 289 S.W.3d 836, 842 (Tex. 2009)</w:t>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hyperlink r:id="r71">
              <w:r>
                <w:rPr>
                  <w:rFonts w:ascii="Times New Roman" w:hAnsi="Times New Roman"/>
                  <w:i/>
                  <w:color w:val="006fc4"/>
                  <w:sz w:val="20"/>
                </w:rPr>
                <w:t>In re State Farm Mut. Auto. Ins. Co.</w:t>
              </w:r>
              <w:r>
                <w:rPr>
                  <w:rFonts w:ascii="Times New Roman" w:hAnsi="Times New Roman"/>
                  <w:color w:val="006fc4"/>
                  <w:sz w:val="20"/>
                </w:rPr>
                <w:t>, 629 S.W.3d 866, 872 (Tex. 2021)</w:t>
              </w:r>
            </w:hyperlink>
            <w:r>
              <w:rPr>
                <w:rFonts w:ascii="Times New Roman" w:hAnsi="Times New Roman"/>
                <w:color w:val="000000"/>
                <w:sz w:val="20"/>
              </w:rPr>
              <w:t xml:space="preserve"> (“We determine the adequacy of an appellate remedy by balancing the benefits of mandamus review against its detriments.”).</w:t>
            </w:r>
          </w:p>
        </w:tc>
      </w:tr>
      <w:tr>
        <w:tblPrEx/>
        <w:trPr/>
        <w:tc>
          <w:tcPr>
            <w:vAlign w:val="top"/>
          </w:tcPr>
          <w:p>
            <w:pPr>
              <w:spacing w:before="0" w:after="0" w:line="275" w:lineRule="atLeast"/>
            </w:pPr>
            <w:bookmarkStart w:id="129" w:name="co_footnote_B00272082955422_1"/>
            <w:hyperlink w:anchor="co_fnRef_B00272082955422_ID0E6OAG_1">
              <w:r>
                <w:rPr>
                  <w:rFonts w:ascii="Times New Roman" w:hAnsi="Times New Roman"/>
                  <w:color w:val="006fc4"/>
                  <w:sz w:val="20"/>
                  <w:vertAlign w:val="superscript"/>
                </w:rPr>
                <w:t>27</w:t>
              </w:r>
            </w:hyperlink>
            <w:bookmarkEnd w:id="129"/>
          </w:p>
        </w:tc>
        <w:tc>
          <w:tcPr>
            <w:vAlign w:val="top"/>
          </w:tcPr>
          <w:p>
            <w:pPr>
              <w:pBdr>
                <w:bottom w:val="none" w:space="8"/>
              </w:pBdr>
              <w:spacing w:before="0" w:after="0" w:line="275" w:lineRule="atLeast"/>
              <w:jc w:val="both"/>
            </w:pPr>
            <w:hyperlink r:id="r72">
              <w:r>
                <w:rPr>
                  <w:rFonts w:ascii="Times New Roman" w:hAnsi="Times New Roman"/>
                  <w:i/>
                  <w:color w:val="006fc4"/>
                  <w:sz w:val="20"/>
                </w:rPr>
                <w:t>In re Prudential Ins. Co. of Am.</w:t>
              </w:r>
              <w:r>
                <w:rPr>
                  <w:rFonts w:ascii="Times New Roman" w:hAnsi="Times New Roman"/>
                  <w:color w:val="006fc4"/>
                  <w:sz w:val="20"/>
                </w:rPr>
                <w:t>, 148 S.W.3d 124, 136 (Tex. 2004)</w:t>
              </w:r>
            </w:hyperlink>
            <w:r>
              <w:rPr>
                <w:rFonts w:ascii="Times New Roman" w:hAnsi="Times New Roman"/>
                <w:color w:val="000000"/>
                <w:sz w:val="20"/>
              </w:rPr>
              <w:t>.</w:t>
            </w:r>
          </w:p>
        </w:tc>
      </w:tr>
      <w:tr>
        <w:tblPrEx/>
        <w:trPr/>
        <w:tc>
          <w:tcPr>
            <w:vAlign w:val="top"/>
          </w:tcPr>
          <w:p>
            <w:pPr>
              <w:spacing w:before="0" w:after="0" w:line="275" w:lineRule="atLeast"/>
            </w:pPr>
            <w:bookmarkStart w:id="130" w:name="co_footnote_B00282082955422_1"/>
            <w:hyperlink w:anchor="co_fnRef_B00282082955422_ID0EPPAG_1">
              <w:r>
                <w:rPr>
                  <w:rFonts w:ascii="Times New Roman" w:hAnsi="Times New Roman"/>
                  <w:color w:val="006fc4"/>
                  <w:sz w:val="20"/>
                  <w:vertAlign w:val="superscript"/>
                </w:rPr>
                <w:t>28</w:t>
              </w:r>
            </w:hyperlink>
            <w:bookmarkEnd w:id="130"/>
          </w:p>
        </w:tc>
        <w:tc>
          <w:tcPr>
            <w:vAlign w:val="top"/>
          </w:tcPr>
          <w:p>
            <w:pPr>
              <w:pBdr>
                <w:bottom w:val="none" w:space="8"/>
              </w:pBdr>
              <w:spacing w:before="0" w:after="0" w:line="275" w:lineRule="atLeast"/>
              <w:jc w:val="both"/>
            </w:pPr>
            <w:hyperlink r:id="r73">
              <w:r>
                <w:rPr>
                  <w:rFonts w:ascii="Times New Roman" w:hAnsi="Times New Roman"/>
                  <w:i/>
                  <w:color w:val="006fc4"/>
                  <w:sz w:val="20"/>
                </w:rPr>
                <w:t>Id.</w:t>
              </w:r>
              <w:r>
                <w:rPr>
                  <w:rFonts w:ascii="Times New Roman" w:hAnsi="Times New Roman"/>
                  <w:color w:val="006fc4"/>
                  <w:sz w:val="20"/>
                </w:rPr>
                <w:t xml:space="preserve"> at 137</w:t>
              </w:r>
            </w:hyperlink>
            <w:r>
              <w:rPr>
                <w:rFonts w:ascii="Times New Roman" w:hAnsi="Times New Roman"/>
                <w:color w:val="000000"/>
                <w:sz w:val="20"/>
              </w:rPr>
              <w:t>.</w:t>
            </w:r>
          </w:p>
        </w:tc>
      </w:tr>
      <w:tr>
        <w:tblPrEx/>
        <w:trPr/>
        <w:tc>
          <w:tcPr>
            <w:vAlign w:val="top"/>
          </w:tcPr>
          <w:p>
            <w:pPr>
              <w:spacing w:before="0" w:after="0" w:line="275" w:lineRule="atLeast"/>
            </w:pPr>
            <w:bookmarkStart w:id="131" w:name="co_footnote_B00292082955422_1"/>
            <w:hyperlink w:anchor="co_fnRef_B00292082955422_ID0EWPAG_1">
              <w:r>
                <w:rPr>
                  <w:rFonts w:ascii="Times New Roman" w:hAnsi="Times New Roman"/>
                  <w:color w:val="006fc4"/>
                  <w:sz w:val="20"/>
                  <w:vertAlign w:val="superscript"/>
                </w:rPr>
                <w:t>29</w:t>
              </w:r>
            </w:hyperlink>
            <w:bookmarkEnd w:id="131"/>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74">
              <w:r>
                <w:rPr>
                  <w:rFonts w:ascii="Times New Roman" w:hAnsi="Times New Roman"/>
                  <w:color w:val="006fc4"/>
                  <w:sz w:val="20"/>
                </w:rPr>
                <w:t>Tex. R. App. P.</w:t>
              </w:r>
              <w:r>
                <w:rPr>
                  <w:rFonts w:ascii="Times New Roman" w:hAnsi="Times New Roman"/>
                  <w:color w:val="006fc4"/>
                  <w:sz w:val="20"/>
                </w:rPr>
                <w:t xml:space="preserve"> 52.4</w:t>
              </w:r>
            </w:hyperlink>
            <w:r>
              <w:rPr>
                <w:rFonts w:ascii="Times New Roman" w:hAnsi="Times New Roman"/>
                <w:color w:val="000000"/>
                <w:sz w:val="20"/>
              </w:rPr>
              <w:t xml:space="preserve">, </w:t>
            </w:r>
            <w:hyperlink r:id="r75">
              <w:r>
                <w:rPr>
                  <w:rFonts w:ascii="Times New Roman" w:hAnsi="Times New Roman"/>
                  <w:color w:val="006fc4"/>
                  <w:sz w:val="20"/>
                </w:rPr>
                <w:t>52.8</w:t>
              </w:r>
            </w:hyperlink>
            <w:r>
              <w:rPr>
                <w:rFonts w:ascii="Times New Roman" w:hAnsi="Times New Roman"/>
                <w:color w:val="000000"/>
                <w:sz w:val="20"/>
              </w:rPr>
              <w:t>.</w:t>
            </w:r>
          </w:p>
        </w:tc>
      </w:tr>
      <w:tr>
        <w:tblPrEx/>
        <w:trPr/>
        <w:tc>
          <w:tcPr>
            <w:vAlign w:val="top"/>
          </w:tcPr>
          <w:p>
            <w:pPr>
              <w:spacing w:before="0" w:after="0" w:line="275" w:lineRule="atLeast"/>
            </w:pPr>
            <w:bookmarkStart w:id="132" w:name="co_footnote_B00302082955422_1"/>
            <w:hyperlink w:anchor="co_fnRef_B00302082955422_ID0EGUAG_1">
              <w:r>
                <w:rPr>
                  <w:rFonts w:ascii="Times New Roman" w:hAnsi="Times New Roman"/>
                  <w:color w:val="006fc4"/>
                  <w:sz w:val="20"/>
                  <w:vertAlign w:val="superscript"/>
                </w:rPr>
                <w:t>30</w:t>
              </w:r>
            </w:hyperlink>
            <w:bookmarkEnd w:id="132"/>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76">
              <w:r>
                <w:rPr>
                  <w:rFonts w:ascii="Times New Roman" w:hAnsi="Times New Roman"/>
                  <w:color w:val="006fc4"/>
                  <w:sz w:val="20"/>
                </w:rPr>
                <w:t>Tex. Gov't Code</w:t>
              </w:r>
              <w:r>
                <w:rPr>
                  <w:rFonts w:ascii="Times New Roman" w:hAnsi="Times New Roman"/>
                  <w:color w:val="006fc4"/>
                  <w:sz w:val="20"/>
                </w:rPr>
                <w:t xml:space="preserve"> § 25A.004</w:t>
              </w:r>
            </w:hyperlink>
            <w:r>
              <w:rPr>
                <w:rFonts w:ascii="Times New Roman" w:hAnsi="Times New Roman"/>
                <w:color w:val="000000"/>
                <w:sz w:val="20"/>
              </w:rPr>
              <w:t xml:space="preserve"> (listing business court's special jurisdiction).</w:t>
            </w:r>
          </w:p>
        </w:tc>
      </w:tr>
      <w:tr>
        <w:tblPrEx/>
        <w:trPr/>
        <w:tc>
          <w:tcPr>
            <w:vAlign w:val="top"/>
          </w:tcPr>
          <w:p>
            <w:pPr>
              <w:spacing w:before="0" w:after="0" w:line="275" w:lineRule="atLeast"/>
            </w:pPr>
            <w:bookmarkStart w:id="133" w:name="co_footnote_B00312082955422_1"/>
            <w:hyperlink w:anchor="co_fnRef_B00312082955422_ID0ENUAG_1">
              <w:r>
                <w:rPr>
                  <w:rFonts w:ascii="Times New Roman" w:hAnsi="Times New Roman"/>
                  <w:color w:val="006fc4"/>
                  <w:sz w:val="20"/>
                  <w:vertAlign w:val="superscript"/>
                </w:rPr>
                <w:t>31</w:t>
              </w:r>
            </w:hyperlink>
            <w:bookmarkEnd w:id="133"/>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77">
              <w:r>
                <w:rPr>
                  <w:rFonts w:ascii="Times New Roman" w:hAnsi="Times New Roman"/>
                  <w:i/>
                  <w:color w:val="006fc4"/>
                  <w:sz w:val="20"/>
                </w:rPr>
                <w:t>id.</w:t>
              </w:r>
              <w:r>
                <w:rPr>
                  <w:rFonts w:ascii="Times New Roman" w:hAnsi="Times New Roman"/>
                  <w:color w:val="006fc4"/>
                  <w:sz w:val="20"/>
                </w:rPr>
                <w:t xml:space="preserve"> § 25A.004(h)</w:t>
              </w:r>
            </w:hyperlink>
            <w:r>
              <w:rPr>
                <w:rFonts w:ascii="Times New Roman" w:hAnsi="Times New Roman"/>
                <w:color w:val="000000"/>
                <w:sz w:val="20"/>
              </w:rPr>
              <w:t>.</w:t>
            </w:r>
          </w:p>
        </w:tc>
      </w:tr>
      <w:tr>
        <w:tblPrEx/>
        <w:trPr/>
        <w:tc>
          <w:tcPr>
            <w:vAlign w:val="top"/>
          </w:tcPr>
          <w:p>
            <w:pPr>
              <w:spacing w:before="0" w:after="0" w:line="275" w:lineRule="atLeast"/>
            </w:pPr>
            <w:bookmarkStart w:id="134" w:name="co_footnote_B00322082955422_1"/>
            <w:hyperlink w:anchor="co_fnRef_B00322082955422_ID0EXUAG_1">
              <w:r>
                <w:rPr>
                  <w:rFonts w:ascii="Times New Roman" w:hAnsi="Times New Roman"/>
                  <w:color w:val="006fc4"/>
                  <w:sz w:val="20"/>
                  <w:vertAlign w:val="superscript"/>
                </w:rPr>
                <w:t>32</w:t>
              </w:r>
            </w:hyperlink>
            <w:bookmarkEnd w:id="134"/>
          </w:p>
        </w:tc>
        <w:tc>
          <w:tcPr>
            <w:vAlign w:val="top"/>
          </w:tcPr>
          <w:p>
            <w:pPr>
              <w:pBdr>
                <w:bottom w:val="none" w:space="8"/>
              </w:pBdr>
              <w:spacing w:before="0" w:after="0" w:line="275" w:lineRule="atLeast"/>
              <w:jc w:val="both"/>
            </w:pPr>
            <w:r>
              <w:rPr>
                <w:rFonts w:ascii="Times New Roman" w:hAnsi="Times New Roman"/>
                <w:i/>
                <w:color w:val="000000"/>
                <w:sz w:val="20"/>
              </w:rPr>
              <w:t>See id.</w:t>
            </w:r>
            <w:r>
              <w:rPr>
                <w:rFonts w:ascii="Times New Roman" w:hAnsi="Times New Roman"/>
                <w:color w:val="000000"/>
                <w:sz w:val="20"/>
              </w:rPr>
              <w:t xml:space="preserve"> § 25A.008(a)(4) (requiring 10 years of experience in complex civil business litigation, business transaction law, judicial service in a court with civil jurisdiction, or any combination of the foregoing).</w:t>
            </w:r>
          </w:p>
        </w:tc>
      </w:tr>
      <w:tr>
        <w:tblPrEx/>
        <w:trPr/>
        <w:tc>
          <w:tcPr>
            <w:vAlign w:val="top"/>
          </w:tcPr>
          <w:p>
            <w:pPr>
              <w:spacing w:before="0" w:after="0" w:line="275" w:lineRule="atLeast"/>
            </w:pPr>
            <w:bookmarkStart w:id="135" w:name="co_footnote_B00332082955422_1"/>
            <w:hyperlink w:anchor="co_fnRef_B00332082955422_ID0EBVAG_1">
              <w:r>
                <w:rPr>
                  <w:rFonts w:ascii="Times New Roman" w:hAnsi="Times New Roman"/>
                  <w:color w:val="006fc4"/>
                  <w:sz w:val="20"/>
                  <w:vertAlign w:val="superscript"/>
                </w:rPr>
                <w:t>33</w:t>
              </w:r>
            </w:hyperlink>
            <w:bookmarkEnd w:id="135"/>
          </w:p>
        </w:tc>
        <w:tc>
          <w:tcPr>
            <w:vAlign w:val="top"/>
          </w:tcPr>
          <w:p>
            <w:pPr>
              <w:pBdr>
                <w:bottom w:val="none" w:space="8"/>
              </w:pBdr>
              <w:spacing w:before="0" w:after="0" w:line="275" w:lineRule="atLeast"/>
              <w:jc w:val="both"/>
            </w:pPr>
            <w:hyperlink r:id="r78">
              <w:r>
                <w:rPr>
                  <w:rFonts w:ascii="Times New Roman" w:hAnsi="Times New Roman"/>
                  <w:i/>
                  <w:color w:val="006fc4"/>
                  <w:sz w:val="20"/>
                </w:rPr>
                <w:t>In re</w:t>
              </w:r>
              <w:r>
                <w:rPr>
                  <w:rFonts w:ascii="Times New Roman" w:hAnsi="Times New Roman"/>
                  <w:color w:val="006fc4"/>
                  <w:sz w:val="20"/>
                </w:rPr>
                <w:t xml:space="preserve"> </w:t>
              </w:r>
              <w:r>
                <w:rPr>
                  <w:rFonts w:ascii="Times New Roman" w:hAnsi="Times New Roman"/>
                  <w:i/>
                  <w:color w:val="006fc4"/>
                  <w:sz w:val="20"/>
                </w:rPr>
                <w:t>Essex Ins. Co.</w:t>
              </w:r>
              <w:r>
                <w:rPr>
                  <w:rFonts w:ascii="Times New Roman" w:hAnsi="Times New Roman"/>
                  <w:color w:val="006fc4"/>
                  <w:sz w:val="20"/>
                </w:rPr>
                <w:t>, 450 S.W.3d 524, 528 (Tex. 2014)</w:t>
              </w:r>
            </w:hyperlink>
            <w:r>
              <w:rPr>
                <w:rFonts w:ascii="Times New Roman" w:hAnsi="Times New Roman"/>
                <w:color w:val="000000"/>
                <w:sz w:val="20"/>
              </w:rPr>
              <w:t>.</w:t>
            </w:r>
          </w:p>
        </w:tc>
      </w:tr>
      <w:tr>
        <w:tblPrEx/>
        <w:trPr/>
        <w:tc>
          <w:tcPr>
            <w:vAlign w:val="top"/>
          </w:tcPr>
          <w:p>
            <w:pPr>
              <w:spacing w:before="0" w:after="0" w:line="275" w:lineRule="atLeast"/>
            </w:pPr>
            <w:bookmarkStart w:id="136" w:name="co_footnote_B00342082955422_1"/>
            <w:hyperlink w:anchor="co_fnRef_B00342082955422_ID0EIVAG_1">
              <w:r>
                <w:rPr>
                  <w:rFonts w:ascii="Times New Roman" w:hAnsi="Times New Roman"/>
                  <w:color w:val="006fc4"/>
                  <w:sz w:val="20"/>
                  <w:vertAlign w:val="superscript"/>
                </w:rPr>
                <w:t>34</w:t>
              </w:r>
            </w:hyperlink>
            <w:bookmarkEnd w:id="136"/>
          </w:p>
        </w:tc>
        <w:tc>
          <w:tcPr>
            <w:vAlign w:val="top"/>
          </w:tcPr>
          <w:p>
            <w:pPr>
              <w:pBdr>
                <w:bottom w:val="none" w:space="8"/>
              </w:pBdr>
              <w:spacing w:before="0" w:after="0" w:line="275" w:lineRule="atLeast"/>
              <w:jc w:val="both"/>
            </w:pPr>
            <w:r>
              <w:rPr>
                <w:rFonts w:ascii="Times New Roman" w:hAnsi="Times New Roman"/>
                <w:color w:val="000000"/>
                <w:sz w:val="20"/>
              </w:rPr>
              <w:t>Tex. Gov't Code</w:t>
            </w:r>
            <w:r>
              <w:rPr>
                <w:rFonts w:ascii="Times New Roman" w:hAnsi="Times New Roman"/>
                <w:color w:val="000000"/>
                <w:sz w:val="20"/>
              </w:rPr>
              <w:t xml:space="preserve"> § 25.004(b)–(f).</w:t>
            </w:r>
          </w:p>
        </w:tc>
      </w:tr>
      <w:tr>
        <w:tblPrEx/>
        <w:trPr/>
        <w:tc>
          <w:tcPr>
            <w:vAlign w:val="top"/>
          </w:tcPr>
          <w:p>
            <w:pPr>
              <w:spacing w:before="0" w:after="0" w:line="275" w:lineRule="atLeast"/>
            </w:pPr>
            <w:bookmarkStart w:id="137" w:name="co_footnote_B00352082955422_1"/>
            <w:hyperlink w:anchor="co_fnRef_B00352082955422_ID0EXVAG_1">
              <w:r>
                <w:rPr>
                  <w:rFonts w:ascii="Times New Roman" w:hAnsi="Times New Roman"/>
                  <w:color w:val="006fc4"/>
                  <w:sz w:val="20"/>
                  <w:vertAlign w:val="superscript"/>
                </w:rPr>
                <w:t>35</w:t>
              </w:r>
            </w:hyperlink>
            <w:bookmarkEnd w:id="137"/>
          </w:p>
        </w:tc>
        <w:tc>
          <w:tcPr>
            <w:vAlign w:val="top"/>
          </w:tcPr>
          <w:p>
            <w:pPr>
              <w:pBdr>
                <w:bottom w:val="none" w:space="8"/>
              </w:pBdr>
              <w:spacing w:before="0" w:after="0" w:line="275" w:lineRule="atLeast"/>
              <w:jc w:val="both"/>
            </w:pPr>
            <w:r>
              <w:rPr>
                <w:rFonts w:ascii="Times New Roman" w:hAnsi="Times New Roman"/>
                <w:i/>
                <w:color w:val="000000"/>
                <w:sz w:val="20"/>
              </w:rPr>
              <w:t>Id.</w:t>
            </w:r>
            <w:r>
              <w:rPr>
                <w:rFonts w:ascii="Times New Roman" w:hAnsi="Times New Roman"/>
                <w:color w:val="000000"/>
                <w:sz w:val="20"/>
              </w:rPr>
              <w:t xml:space="preserve"> § 25A.015(g); </w:t>
            </w:r>
            <w:hyperlink r:id="r79">
              <w:r>
                <w:rPr>
                  <w:rFonts w:ascii="Times New Roman" w:hAnsi="Times New Roman"/>
                  <w:color w:val="006fc4"/>
                  <w:sz w:val="20"/>
                </w:rPr>
                <w:t>Tex. R. Civ. P.</w:t>
              </w:r>
              <w:r>
                <w:rPr>
                  <w:rFonts w:ascii="Times New Roman" w:hAnsi="Times New Roman"/>
                  <w:color w:val="006fc4"/>
                  <w:sz w:val="20"/>
                </w:rPr>
                <w:t xml:space="preserve"> 2</w:t>
              </w:r>
            </w:hyperlink>
            <w:r>
              <w:rPr>
                <w:rFonts w:ascii="Times New Roman" w:hAnsi="Times New Roman"/>
                <w:color w:val="000000"/>
                <w:sz w:val="20"/>
              </w:rPr>
              <w:t>.</w:t>
            </w:r>
          </w:p>
        </w:tc>
      </w:tr>
      <w:tr>
        <w:tblPrEx/>
        <w:trPr/>
        <w:tc>
          <w:tcPr>
            <w:vAlign w:val="top"/>
          </w:tcPr>
          <w:p>
            <w:pPr>
              <w:spacing w:before="0" w:after="0" w:line="275" w:lineRule="atLeast"/>
            </w:pPr>
            <w:bookmarkStart w:id="138" w:name="co_footnote_B00362082955422_1"/>
            <w:hyperlink w:anchor="co_fnRef_B00362082955422_ID0E51AG_1">
              <w:r>
                <w:rPr>
                  <w:rFonts w:ascii="Times New Roman" w:hAnsi="Times New Roman"/>
                  <w:color w:val="006fc4"/>
                  <w:sz w:val="20"/>
                  <w:vertAlign w:val="superscript"/>
                </w:rPr>
                <w:t>36</w:t>
              </w:r>
            </w:hyperlink>
            <w:bookmarkEnd w:id="138"/>
          </w:p>
        </w:tc>
        <w:tc>
          <w:tcPr>
            <w:vAlign w:val="top"/>
          </w:tcPr>
          <w:p>
            <w:pPr>
              <w:pBdr>
                <w:bottom w:val="none" w:space="8"/>
              </w:pBdr>
              <w:spacing w:before="0" w:after="0" w:line="275" w:lineRule="atLeast"/>
              <w:jc w:val="both"/>
            </w:pPr>
            <w:r>
              <w:rPr>
                <w:rFonts w:ascii="Times New Roman" w:hAnsi="Times New Roman"/>
                <w:i/>
                <w:color w:val="000000"/>
                <w:sz w:val="20"/>
              </w:rPr>
              <w:t>See id.</w:t>
            </w:r>
            <w:r>
              <w:rPr>
                <w:rFonts w:ascii="Times New Roman" w:hAnsi="Times New Roman"/>
                <w:color w:val="000000"/>
                <w:sz w:val="20"/>
              </w:rPr>
              <w:t xml:space="preserve"> § 25A.016; </w:t>
            </w:r>
            <w:hyperlink r:id="r80">
              <w:r>
                <w:rPr>
                  <w:rFonts w:ascii="Times New Roman" w:hAnsi="Times New Roman"/>
                  <w:color w:val="006fc4"/>
                  <w:sz w:val="20"/>
                </w:rPr>
                <w:t>Tex. R. Civ. P.</w:t>
              </w:r>
              <w:r>
                <w:rPr>
                  <w:rFonts w:ascii="Times New Roman" w:hAnsi="Times New Roman"/>
                  <w:color w:val="006fc4"/>
                  <w:sz w:val="20"/>
                </w:rPr>
                <w:t xml:space="preserve"> 360</w:t>
              </w:r>
            </w:hyperlink>
            <w:r>
              <w:rPr>
                <w:rFonts w:ascii="Times New Roman" w:hAnsi="Times New Roman"/>
                <w:color w:val="000000"/>
                <w:sz w:val="20"/>
              </w:rPr>
              <w:t>.</w:t>
            </w:r>
          </w:p>
        </w:tc>
      </w:tr>
      <w:tr>
        <w:tblPrEx/>
        <w:trPr/>
        <w:tc>
          <w:tcPr>
            <w:vAlign w:val="top"/>
          </w:tcPr>
          <w:p>
            <w:pPr>
              <w:spacing w:before="0" w:after="0" w:line="275" w:lineRule="atLeast"/>
            </w:pPr>
            <w:bookmarkStart w:id="139" w:name="co_footnote_B00372082955422_1"/>
            <w:hyperlink w:anchor="co_fnRef_B00372082955422_ID0EI2AG_1">
              <w:r>
                <w:rPr>
                  <w:rFonts w:ascii="Times New Roman" w:hAnsi="Times New Roman"/>
                  <w:color w:val="006fc4"/>
                  <w:sz w:val="20"/>
                  <w:vertAlign w:val="superscript"/>
                </w:rPr>
                <w:t>37</w:t>
              </w:r>
            </w:hyperlink>
            <w:bookmarkEnd w:id="139"/>
          </w:p>
        </w:tc>
        <w:tc>
          <w:tcPr>
            <w:vAlign w:val="top"/>
          </w:tcPr>
          <w:p>
            <w:pPr>
              <w:pBdr>
                <w:bottom w:val="none" w:space="8"/>
              </w:pBdr>
              <w:spacing w:before="0" w:after="0" w:line="275" w:lineRule="atLeast"/>
              <w:jc w:val="both"/>
            </w:pPr>
            <w:r>
              <w:rPr>
                <w:rFonts w:ascii="Times New Roman" w:hAnsi="Times New Roman"/>
                <w:i/>
                <w:color w:val="000000"/>
                <w:sz w:val="20"/>
              </w:rPr>
              <w:t>See id.</w:t>
            </w:r>
            <w:r>
              <w:rPr>
                <w:rFonts w:ascii="Times New Roman" w:hAnsi="Times New Roman"/>
                <w:color w:val="000000"/>
                <w:sz w:val="20"/>
              </w:rPr>
              <w:t xml:space="preserve"> § 25A.007.</w:t>
            </w:r>
          </w:p>
        </w:tc>
      </w:tr>
      <w:tr>
        <w:tblPrEx/>
        <w:trPr/>
        <w:tc>
          <w:tcPr>
            <w:vAlign w:val="top"/>
          </w:tcPr>
          <w:p>
            <w:pPr>
              <w:spacing w:before="0" w:after="0" w:line="275" w:lineRule="atLeast"/>
            </w:pPr>
            <w:bookmarkStart w:id="140" w:name="co_footnote_B00382082955422_1"/>
            <w:hyperlink w:anchor="co_fnRef_B00382082955422_ID0EZ2AG_1">
              <w:r>
                <w:rPr>
                  <w:rFonts w:ascii="Times New Roman" w:hAnsi="Times New Roman"/>
                  <w:color w:val="006fc4"/>
                  <w:sz w:val="20"/>
                  <w:vertAlign w:val="superscript"/>
                </w:rPr>
                <w:t>38</w:t>
              </w:r>
            </w:hyperlink>
            <w:bookmarkEnd w:id="140"/>
          </w:p>
        </w:tc>
        <w:tc>
          <w:tcPr>
            <w:vAlign w:val="top"/>
          </w:tcPr>
          <w:p>
            <w:pPr>
              <w:pBdr>
                <w:bottom w:val="none" w:space="8"/>
              </w:pBdr>
              <w:spacing w:before="0" w:after="0" w:line="275" w:lineRule="atLeast"/>
              <w:jc w:val="both"/>
            </w:pPr>
            <w:hyperlink r:id="r81">
              <w:r>
                <w:rPr>
                  <w:rFonts w:ascii="Times New Roman" w:hAnsi="Times New Roman"/>
                  <w:i/>
                  <w:color w:val="006fc4"/>
                  <w:sz w:val="20"/>
                </w:rPr>
                <w:t>In re Prudential Ins. Co. of Am.</w:t>
              </w:r>
              <w:r>
                <w:rPr>
                  <w:rFonts w:ascii="Times New Roman" w:hAnsi="Times New Roman"/>
                  <w:color w:val="006fc4"/>
                  <w:sz w:val="20"/>
                </w:rPr>
                <w:t>, 148 S.W.3d 124, 136 (Tex. 2004)</w:t>
              </w:r>
            </w:hyperlink>
            <w:r>
              <w:rPr>
                <w:rFonts w:ascii="Times New Roman" w:hAnsi="Times New Roman"/>
                <w:color w:val="000000"/>
                <w:sz w:val="20"/>
              </w:rPr>
              <w:t>.</w:t>
            </w:r>
          </w:p>
        </w:tc>
      </w:tr>
      <w:tr>
        <w:tblPrEx/>
        <w:trPr/>
        <w:tc>
          <w:tcPr>
            <w:vAlign w:val="top"/>
          </w:tcPr>
          <w:p>
            <w:pPr>
              <w:spacing w:before="0" w:after="0" w:line="275" w:lineRule="atLeast"/>
            </w:pPr>
            <w:bookmarkStart w:id="141" w:name="co_footnote_B00392082955422_1"/>
            <w:hyperlink w:anchor="co_fnRef_B00392082955422_ID0EH3AG_1">
              <w:r>
                <w:rPr>
                  <w:rFonts w:ascii="Times New Roman" w:hAnsi="Times New Roman"/>
                  <w:color w:val="006fc4"/>
                  <w:sz w:val="20"/>
                  <w:vertAlign w:val="superscript"/>
                </w:rPr>
                <w:t>39</w:t>
              </w:r>
            </w:hyperlink>
            <w:bookmarkEnd w:id="141"/>
          </w:p>
        </w:tc>
        <w:tc>
          <w:tcPr>
            <w:vAlign w:val="top"/>
          </w:tcPr>
          <w:p>
            <w:pPr>
              <w:pBdr>
                <w:bottom w:val="none" w:space="8"/>
              </w:pBdr>
              <w:spacing w:before="0" w:after="0" w:line="275" w:lineRule="atLeast"/>
              <w:jc w:val="both"/>
            </w:pPr>
            <w:hyperlink r:id="r82">
              <w:r>
                <w:rPr>
                  <w:rFonts w:ascii="Times New Roman" w:hAnsi="Times New Roman"/>
                  <w:i/>
                  <w:color w:val="006fc4"/>
                  <w:sz w:val="20"/>
                </w:rPr>
                <w:t>Id.</w:t>
              </w:r>
            </w:hyperlink>
          </w:p>
        </w:tc>
      </w:tr>
      <w:tr>
        <w:tblPrEx/>
        <w:trPr/>
        <w:tc>
          <w:tcPr>
            <w:vAlign w:val="top"/>
          </w:tcPr>
          <w:p>
            <w:pPr>
              <w:spacing w:before="0" w:after="0" w:line="275" w:lineRule="atLeast"/>
            </w:pPr>
            <w:bookmarkStart w:id="142" w:name="co_footnote_B00402082955422_1"/>
            <w:hyperlink w:anchor="co_fnRef_B00402082955422_ID0ES6AG_1">
              <w:r>
                <w:rPr>
                  <w:rFonts w:ascii="Times New Roman" w:hAnsi="Times New Roman"/>
                  <w:color w:val="006fc4"/>
                  <w:sz w:val="20"/>
                  <w:vertAlign w:val="superscript"/>
                </w:rPr>
                <w:t>40</w:t>
              </w:r>
            </w:hyperlink>
            <w:bookmarkEnd w:id="142"/>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83">
              <w:r>
                <w:rPr>
                  <w:rFonts w:ascii="Times New Roman" w:hAnsi="Times New Roman"/>
                  <w:color w:val="006fc4"/>
                  <w:sz w:val="20"/>
                </w:rPr>
                <w:t>Tex. Gov't Code</w:t>
              </w:r>
              <w:r>
                <w:rPr>
                  <w:rFonts w:ascii="Times New Roman" w:hAnsi="Times New Roman"/>
                  <w:color w:val="006fc4"/>
                  <w:sz w:val="20"/>
                </w:rPr>
                <w:t xml:space="preserve"> § 25A.015(c)</w:t>
              </w:r>
            </w:hyperlink>
            <w:r>
              <w:rPr>
                <w:rFonts w:ascii="Times New Roman" w:hAnsi="Times New Roman"/>
                <w:color w:val="000000"/>
                <w:sz w:val="20"/>
              </w:rPr>
              <w:t>.</w:t>
            </w:r>
          </w:p>
        </w:tc>
      </w:tr>
      <w:tr>
        <w:tblPrEx/>
        <w:trPr/>
        <w:tc>
          <w:tcPr>
            <w:vAlign w:val="top"/>
          </w:tcPr>
          <w:p>
            <w:pPr>
              <w:spacing w:before="0" w:after="0" w:line="275" w:lineRule="atLeast"/>
            </w:pPr>
            <w:bookmarkStart w:id="143" w:name="co_footnote_B00412082955422_1"/>
            <w:hyperlink w:anchor="co_fnRef_B00412082955422_ID0E36AG_1">
              <w:r>
                <w:rPr>
                  <w:rFonts w:ascii="Times New Roman" w:hAnsi="Times New Roman"/>
                  <w:color w:val="006fc4"/>
                  <w:sz w:val="20"/>
                  <w:vertAlign w:val="superscript"/>
                </w:rPr>
                <w:t>41</w:t>
              </w:r>
            </w:hyperlink>
            <w:bookmarkEnd w:id="143"/>
          </w:p>
        </w:tc>
        <w:tc>
          <w:tcPr>
            <w:vAlign w:val="top"/>
          </w:tcPr>
          <w:p>
            <w:pPr>
              <w:pBdr>
                <w:bottom w:val="none" w:space="8"/>
              </w:pBdr>
              <w:spacing w:before="0" w:after="0" w:line="275" w:lineRule="atLeast"/>
              <w:jc w:val="both"/>
            </w:pPr>
            <w:r>
              <w:rPr>
                <w:rFonts w:ascii="Times New Roman" w:hAnsi="Times New Roman"/>
                <w:i/>
                <w:color w:val="000000"/>
                <w:sz w:val="20"/>
              </w:rPr>
              <w:t>See</w:t>
            </w:r>
            <w:r>
              <w:rPr>
                <w:rFonts w:ascii="Times New Roman" w:hAnsi="Times New Roman"/>
                <w:color w:val="000000"/>
                <w:sz w:val="20"/>
              </w:rPr>
              <w:t xml:space="preserve"> </w:t>
            </w:r>
            <w:hyperlink r:id="r84">
              <w:r>
                <w:rPr>
                  <w:rFonts w:ascii="Times New Roman" w:hAnsi="Times New Roman"/>
                  <w:i/>
                  <w:color w:val="006fc4"/>
                  <w:sz w:val="20"/>
                </w:rPr>
                <w:t>In re McAllen Med. Ctr., Inc.</w:t>
              </w:r>
              <w:r>
                <w:rPr>
                  <w:rFonts w:ascii="Times New Roman" w:hAnsi="Times New Roman"/>
                  <w:color w:val="006fc4"/>
                  <w:sz w:val="20"/>
                </w:rPr>
                <w:t>, 275 S.W.3d 458, 461 (Tex. 2008)</w:t>
              </w:r>
            </w:hyperlink>
            <w:r>
              <w:rPr>
                <w:rFonts w:ascii="Times New Roman" w:hAnsi="Times New Roman"/>
                <w:color w:val="000000"/>
                <w:sz w:val="20"/>
              </w:rPr>
              <w:t xml:space="preserve"> (“[O]ur place in a government of separated powers requires us to consider also the priorities of the other branches of Texas government.”).</w:t>
            </w:r>
          </w:p>
        </w:tc>
      </w:tr>
      <w:tr>
        <w:tblPrEx/>
        <w:trPr/>
        <w:tc>
          <w:tcPr>
            <w:vAlign w:val="top"/>
          </w:tcPr>
          <w:p>
            <w:pPr>
              <w:spacing w:before="0" w:after="0" w:line="275" w:lineRule="atLeast"/>
            </w:pPr>
            <w:bookmarkStart w:id="144" w:name="co_footnote_B00422082955422_1"/>
            <w:hyperlink w:anchor="co_fnRef_B00422082955422_ID0E6CBG_1">
              <w:r>
                <w:rPr>
                  <w:rFonts w:ascii="Times New Roman" w:hAnsi="Times New Roman"/>
                  <w:color w:val="006fc4"/>
                  <w:sz w:val="20"/>
                  <w:vertAlign w:val="superscript"/>
                </w:rPr>
                <w:t>42</w:t>
              </w:r>
            </w:hyperlink>
            <w:bookmarkEnd w:id="144"/>
          </w:p>
        </w:tc>
        <w:tc>
          <w:tcPr>
            <w:vAlign w:val="top"/>
          </w:tcPr>
          <w:p>
            <w:pPr>
              <w:pBdr>
                <w:bottom w:val="none" w:space="8"/>
              </w:pBdr>
              <w:spacing w:before="0" w:after="0" w:line="275" w:lineRule="atLeast"/>
              <w:jc w:val="both"/>
            </w:pPr>
            <w:hyperlink r:id="r85">
              <w:r>
                <w:rPr>
                  <w:rFonts w:ascii="Times New Roman" w:hAnsi="Times New Roman"/>
                  <w:i/>
                  <w:color w:val="006fc4"/>
                  <w:sz w:val="20"/>
                </w:rPr>
                <w:t>Id.</w:t>
              </w:r>
              <w:r>
                <w:rPr>
                  <w:rFonts w:ascii="Times New Roman" w:hAnsi="Times New Roman"/>
                  <w:color w:val="006fc4"/>
                  <w:sz w:val="20"/>
                </w:rPr>
                <w:t xml:space="preserve"> at 461</w:t>
              </w:r>
            </w:hyperlink>
            <w:r>
              <w:rPr>
                <w:rFonts w:ascii="Times New Roman" w:hAnsi="Times New Roman"/>
                <w:color w:val="000000"/>
                <w:sz w:val="20"/>
              </w:rPr>
              <w:t>.</w:t>
            </w:r>
          </w:p>
        </w:tc>
      </w:tr>
    </w:tbl>
    <w:p>
      <w:pPr>
        <w:spacing w:before="0" w:after="0" w:line="240" w:lineRule="auto"/>
        <w:rPr>
          <w:sz w:val="24"/>
        </w:rPr>
      </w:pPr>
    </w:p>
    <w:tbl>
      <w:tblPr>
        <w:tblInd w:w="24" w:type="dxa"/>
        <w:tblLayout w:type="fixed"/>
      </w:tblPr>
      <w:tblGrid>
        <w:gridCol w:w="4305"/>
        <w:gridCol w:w="5745"/>
      </w:tblGrid>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tbl>
    <w:sectPr>
      <w:pgSz w:w="12240" w:h="15840"/>
      <w:pgMar w:top="1080" w:bottom="1080" w:left="1080" w:right="1080" w:header="720" w:footer="720" w:gutter="0"/>
      <w:pgNumType w:fmt="decimal"/>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13" name="Picture 0" descr="Westlaw Logo"/>
                <a:graphic>
                  <a:graphicData uri="http://schemas.openxmlformats.org/drawingml/2006/picture">
                    <p:pic>
                      <p:nvPicPr>
                        <p:cNvPr id="14"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In re ETC Field Services, LLC, --- S.W.3d ---- (2025)</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